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6C0A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Naziv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obveznika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Općina Draganić</w:t>
      </w:r>
    </w:p>
    <w:p w14:paraId="5A819E63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r w:rsidRPr="009768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R</w:t>
      </w:r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KP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broj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: 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27327</w:t>
      </w:r>
    </w:p>
    <w:p w14:paraId="39A62564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</w:t>
      </w:r>
      <w:r w:rsidRPr="009768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r w:rsidRPr="009768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ti</w:t>
      </w:r>
      <w:r w:rsidRPr="009768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č</w:t>
      </w:r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ni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b</w:t>
      </w:r>
      <w:r w:rsidRPr="009768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r</w:t>
      </w:r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</w:t>
      </w:r>
      <w:r w:rsidRPr="009768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j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02575434</w:t>
      </w:r>
    </w:p>
    <w:p w14:paraId="35F5369C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r w:rsidRPr="009768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 w:eastAsia="hr-HR"/>
        </w:rPr>
        <w:t>O</w:t>
      </w:r>
      <w:r w:rsidRPr="0097684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 w:eastAsia="hr-HR"/>
        </w:rPr>
        <w:t>I</w:t>
      </w:r>
      <w:r w:rsidRPr="009768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 w:eastAsia="hr-HR"/>
        </w:rPr>
        <w:t>B</w:t>
      </w:r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45803800853</w:t>
      </w:r>
    </w:p>
    <w:p w14:paraId="1B3CCAE0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Pošta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i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mjesto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47201 Draganić</w:t>
      </w:r>
    </w:p>
    <w:p w14:paraId="063FC2CE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Adresa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sjedišta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Draganići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10</w:t>
      </w:r>
    </w:p>
    <w:p w14:paraId="5720FAA1" w14:textId="77777777" w:rsidR="0066246C" w:rsidRDefault="0066246C" w:rsidP="0066246C">
      <w:pPr>
        <w:spacing w:before="1" w:after="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R</w:t>
      </w:r>
      <w:r w:rsidRPr="009768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r w:rsidRPr="009768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n-US" w:eastAsia="hr-HR"/>
        </w:rPr>
        <w:t>z</w:t>
      </w:r>
      <w:r w:rsidRPr="009768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US" w:eastAsia="hr-HR"/>
        </w:rPr>
        <w:t>i</w:t>
      </w:r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n</w:t>
      </w:r>
      <w:r w:rsidRPr="0097684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 w:eastAsia="hr-HR"/>
        </w:rPr>
        <w:t>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22 -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Proračun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jedinice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lokalne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i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područne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(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regionalne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)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samouprave</w:t>
      </w:r>
      <w:proofErr w:type="spellEnd"/>
    </w:p>
    <w:p w14:paraId="48793C65" w14:textId="77777777" w:rsidR="0097684E" w:rsidRPr="004F7760" w:rsidRDefault="0097684E" w:rsidP="0097684E">
      <w:pPr>
        <w:spacing w:before="1" w:after="0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23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Konsolidirani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proračun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jedinice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lokalne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područne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regionalne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samouprave</w:t>
      </w:r>
      <w:proofErr w:type="spellEnd"/>
    </w:p>
    <w:p w14:paraId="3BA4A97E" w14:textId="77777777" w:rsidR="0066246C" w:rsidRPr="0097684E" w:rsidRDefault="0066246C" w:rsidP="0066246C">
      <w:pPr>
        <w:spacing w:before="1"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Razdjel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nema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razdjela</w:t>
      </w:r>
      <w:proofErr w:type="spellEnd"/>
    </w:p>
    <w:p w14:paraId="37070950" w14:textId="77777777" w:rsidR="0066246C" w:rsidRPr="0097684E" w:rsidRDefault="0066246C" w:rsidP="0066246C">
      <w:pPr>
        <w:spacing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Šifra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djelatnosti:</w:t>
      </w:r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  8411 –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Opće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djelatnosti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javne</w:t>
      </w:r>
      <w:proofErr w:type="spellEnd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uprave</w:t>
      </w:r>
      <w:proofErr w:type="spellEnd"/>
    </w:p>
    <w:p w14:paraId="23FD00EE" w14:textId="77777777" w:rsidR="0066246C" w:rsidRPr="0097684E" w:rsidRDefault="0066246C" w:rsidP="0066246C">
      <w:pPr>
        <w:spacing w:after="0"/>
        <w:rPr>
          <w:rFonts w:ascii="Calibri" w:eastAsia="Times New Roman" w:hAnsi="Calibri" w:cs="Calibri"/>
          <w:lang w:eastAsia="hr-HR"/>
        </w:rPr>
      </w:pP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Šifra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grada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/</w:t>
      </w:r>
      <w:proofErr w:type="spellStart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općine</w:t>
      </w:r>
      <w:proofErr w:type="spellEnd"/>
      <w:r w:rsidRPr="0097684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: </w:t>
      </w:r>
      <w:proofErr w:type="gramStart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90 ,</w:t>
      </w:r>
      <w:proofErr w:type="gramEnd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 </w:t>
      </w:r>
      <w:proofErr w:type="spellStart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Županija</w:t>
      </w:r>
      <w:proofErr w:type="spellEnd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 xml:space="preserve">: </w:t>
      </w:r>
      <w:proofErr w:type="spellStart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Karlovačka</w:t>
      </w:r>
      <w:proofErr w:type="spellEnd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, grad/</w:t>
      </w:r>
      <w:proofErr w:type="spellStart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općina</w:t>
      </w:r>
      <w:proofErr w:type="spellEnd"/>
      <w:r w:rsidRPr="0097684E">
        <w:rPr>
          <w:rFonts w:ascii="Times New Roman" w:eastAsia="Times New Roman" w:hAnsi="Times New Roman" w:cs="Times New Roman"/>
          <w:bCs/>
          <w:sz w:val="24"/>
          <w:szCs w:val="24"/>
          <w:lang w:val="en-US" w:eastAsia="hr-HR"/>
        </w:rPr>
        <w:t>: Draganić</w:t>
      </w:r>
    </w:p>
    <w:p w14:paraId="6A72869C" w14:textId="70FE1002" w:rsidR="0037232E" w:rsidRPr="0097684E" w:rsidRDefault="004C6DBD" w:rsidP="0037232E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Oznaka razdoblja: </w:t>
      </w:r>
      <w:r w:rsidR="00C63F8C" w:rsidRPr="0097684E">
        <w:rPr>
          <w:rFonts w:ascii="Times New Roman" w:eastAsia="Times New Roman" w:hAnsi="Times New Roman" w:cs="Times New Roman"/>
          <w:noProof/>
          <w:sz w:val="24"/>
          <w:szCs w:val="24"/>
        </w:rPr>
        <w:t>2022-</w:t>
      </w:r>
      <w:r w:rsidR="00155950" w:rsidRPr="0097684E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</w:p>
    <w:p w14:paraId="46A2F16D" w14:textId="77777777" w:rsidR="00C46BDB" w:rsidRPr="00155950" w:rsidRDefault="00C46BDB" w:rsidP="00C46BDB">
      <w:pPr>
        <w:spacing w:before="70" w:after="0" w:line="240" w:lineRule="auto"/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</w:rPr>
      </w:pPr>
      <w:r w:rsidRPr="00155950">
        <w:rPr>
          <w:rFonts w:ascii="Times New Roman" w:eastAsia="Times New Roman" w:hAnsi="Times New Roman" w:cs="Times New Roman"/>
          <w:b/>
          <w:noProof/>
          <w:color w:val="FF0000"/>
          <w:spacing w:val="1"/>
          <w:sz w:val="24"/>
          <w:szCs w:val="24"/>
        </w:rPr>
        <w:tab/>
      </w:r>
      <w:r w:rsidRPr="00155950">
        <w:rPr>
          <w:rFonts w:ascii="Times New Roman" w:eastAsia="Times New Roman" w:hAnsi="Times New Roman" w:cs="Times New Roman"/>
          <w:b/>
          <w:noProof/>
          <w:color w:val="FF0000"/>
          <w:spacing w:val="1"/>
          <w:sz w:val="24"/>
          <w:szCs w:val="24"/>
        </w:rPr>
        <w:tab/>
      </w:r>
      <w:r w:rsidRPr="00155950">
        <w:rPr>
          <w:rFonts w:ascii="Times New Roman" w:eastAsia="Times New Roman" w:hAnsi="Times New Roman" w:cs="Times New Roman"/>
          <w:b/>
          <w:noProof/>
          <w:color w:val="FF0000"/>
          <w:spacing w:val="1"/>
          <w:sz w:val="24"/>
          <w:szCs w:val="24"/>
        </w:rPr>
        <w:tab/>
      </w:r>
      <w:r w:rsidRPr="00155950">
        <w:rPr>
          <w:rFonts w:ascii="Times New Roman" w:eastAsia="Times New Roman" w:hAnsi="Times New Roman" w:cs="Times New Roman"/>
          <w:b/>
          <w:noProof/>
          <w:color w:val="FF0000"/>
          <w:spacing w:val="1"/>
          <w:sz w:val="24"/>
          <w:szCs w:val="24"/>
        </w:rPr>
        <w:tab/>
      </w:r>
      <w:r w:rsidRPr="00155950">
        <w:rPr>
          <w:rFonts w:ascii="Times New Roman" w:eastAsia="Times New Roman" w:hAnsi="Times New Roman" w:cs="Times New Roman"/>
          <w:b/>
          <w:noProof/>
          <w:color w:val="FF0000"/>
          <w:spacing w:val="1"/>
          <w:sz w:val="24"/>
          <w:szCs w:val="24"/>
        </w:rPr>
        <w:tab/>
      </w:r>
    </w:p>
    <w:p w14:paraId="7414CBDE" w14:textId="77777777"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CDE0BB7" w14:textId="77777777" w:rsidR="00C46BDB" w:rsidRPr="00155950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14:paraId="4D74664A" w14:textId="77777777" w:rsidR="00C46BDB" w:rsidRPr="0097684E" w:rsidRDefault="00C46BDB" w:rsidP="00C46BDB">
      <w:pPr>
        <w:spacing w:after="0" w:line="240" w:lineRule="auto"/>
        <w:ind w:left="2603" w:right="2601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L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J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</w:t>
      </w:r>
      <w:r w:rsidRPr="0097684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97684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 xml:space="preserve"> 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UZ</w:t>
      </w:r>
      <w:r w:rsidRPr="0097684E">
        <w:rPr>
          <w:rFonts w:ascii="Times New Roman" w:eastAsia="Times New Roman" w:hAnsi="Times New Roman" w:cs="Times New Roman"/>
          <w:b/>
          <w:noProof/>
          <w:spacing w:val="-4"/>
          <w:sz w:val="24"/>
          <w:szCs w:val="24"/>
        </w:rPr>
        <w:t xml:space="preserve"> </w:t>
      </w:r>
      <w:r w:rsidRPr="0097684E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F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I</w:t>
      </w:r>
      <w:r w:rsidRPr="0097684E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97684E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N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CIJ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S</w:t>
      </w:r>
      <w:r w:rsidRPr="0097684E">
        <w:rPr>
          <w:rFonts w:ascii="Times New Roman" w:eastAsia="Times New Roman" w:hAnsi="Times New Roman" w:cs="Times New Roman"/>
          <w:b/>
          <w:noProof/>
          <w:spacing w:val="-2"/>
          <w:sz w:val="24"/>
          <w:szCs w:val="24"/>
        </w:rPr>
        <w:t>K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="00A02A8A"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97684E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I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Z</w:t>
      </w:r>
      <w:r w:rsidRPr="0097684E">
        <w:rPr>
          <w:rFonts w:ascii="Times New Roman" w:eastAsia="Times New Roman" w:hAnsi="Times New Roman" w:cs="Times New Roman"/>
          <w:b/>
          <w:noProof/>
          <w:w w:val="99"/>
          <w:sz w:val="24"/>
          <w:szCs w:val="24"/>
        </w:rPr>
        <w:t>VJ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EŠTAJE</w:t>
      </w:r>
    </w:p>
    <w:p w14:paraId="0584F390" w14:textId="3D8FAC68" w:rsidR="00C46BDB" w:rsidRPr="0097684E" w:rsidRDefault="00C46BDB" w:rsidP="00A0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 xml:space="preserve"> r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z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d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o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bl</w:t>
      </w: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e</w:t>
      </w:r>
      <w:r w:rsidRPr="0097684E">
        <w:rPr>
          <w:rFonts w:ascii="Times New Roman" w:eastAsia="Times New Roman" w:hAnsi="Times New Roman" w:cs="Times New Roman"/>
          <w:b/>
          <w:noProof/>
          <w:spacing w:val="-7"/>
          <w:sz w:val="24"/>
          <w:szCs w:val="24"/>
        </w:rPr>
        <w:t xml:space="preserve"> 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s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i</w:t>
      </w: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</w:t>
      </w:r>
      <w:r w:rsidRPr="0097684E">
        <w:rPr>
          <w:rFonts w:ascii="Times New Roman" w:eastAsia="Times New Roman" w:hAnsi="Times New Roman" w:cs="Times New Roman"/>
          <w:b/>
          <w:noProof/>
          <w:spacing w:val="2"/>
          <w:sz w:val="24"/>
          <w:szCs w:val="24"/>
        </w:rPr>
        <w:t>e</w:t>
      </w: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č</w:t>
      </w: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a</w:t>
      </w:r>
      <w:r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n</w:t>
      </w:r>
      <w:r w:rsidRPr="0097684E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</w:rPr>
        <w:t>j-</w:t>
      </w:r>
      <w:r w:rsidR="0097684E"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 xml:space="preserve">prosinac </w:t>
      </w:r>
      <w:r w:rsidR="00C63F8C" w:rsidRPr="0097684E">
        <w:rPr>
          <w:rFonts w:ascii="Times New Roman" w:eastAsia="Times New Roman" w:hAnsi="Times New Roman" w:cs="Times New Roman"/>
          <w:b/>
          <w:noProof/>
          <w:spacing w:val="1"/>
          <w:sz w:val="24"/>
          <w:szCs w:val="24"/>
        </w:rPr>
        <w:t>2022. godine</w:t>
      </w:r>
    </w:p>
    <w:p w14:paraId="58808426" w14:textId="77777777"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5A7F6B" w14:textId="77777777"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D70F01" w14:textId="77777777"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6758C0" w14:textId="77777777" w:rsidR="00C46BDB" w:rsidRPr="00BF57B4" w:rsidRDefault="00C46BDB" w:rsidP="00C46BDB">
      <w:pPr>
        <w:spacing w:before="1" w:after="0" w:line="280" w:lineRule="exac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C4B138" w14:textId="77777777" w:rsidR="00C46BDB" w:rsidRPr="0097684E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7684E">
        <w:rPr>
          <w:rFonts w:ascii="Times New Roman" w:eastAsia="Times New Roman" w:hAnsi="Times New Roman" w:cs="Times New Roman"/>
          <w:b/>
          <w:noProof/>
          <w:sz w:val="24"/>
          <w:szCs w:val="24"/>
        </w:rPr>
        <w:t>UVOD</w:t>
      </w:r>
    </w:p>
    <w:p w14:paraId="63CF614C" w14:textId="77777777" w:rsidR="00C46BDB" w:rsidRPr="0097684E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5D4840B" w14:textId="77777777" w:rsidR="00C46BDB" w:rsidRPr="0097684E" w:rsidRDefault="00C46BDB" w:rsidP="00C46BDB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DA4EE5" w14:textId="121540EA" w:rsidR="0037232E" w:rsidRPr="0097684E" w:rsidRDefault="00C46BDB" w:rsidP="00C46BD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684E">
        <w:rPr>
          <w:rFonts w:ascii="Times New Roman" w:hAnsi="Times New Roman" w:cs="Times New Roman"/>
          <w:noProof/>
          <w:sz w:val="24"/>
          <w:szCs w:val="24"/>
        </w:rPr>
        <w:t>U skladu s odredbama Pravilnika o financijskom izvještavanju u proračunskom računovodstvu (</w:t>
      </w:r>
      <w:r w:rsidR="00E91942" w:rsidRPr="0097684E">
        <w:rPr>
          <w:rFonts w:ascii="Times New Roman" w:hAnsi="Times New Roman" w:cs="Times New Roman"/>
          <w:noProof/>
          <w:sz w:val="24"/>
          <w:szCs w:val="24"/>
        </w:rPr>
        <w:t>„</w:t>
      </w:r>
      <w:r w:rsidRPr="0097684E">
        <w:rPr>
          <w:rFonts w:ascii="Times New Roman" w:hAnsi="Times New Roman" w:cs="Times New Roman"/>
          <w:noProof/>
          <w:sz w:val="24"/>
          <w:szCs w:val="24"/>
        </w:rPr>
        <w:t>Narodne Novine</w:t>
      </w:r>
      <w:r w:rsidR="00E91942" w:rsidRPr="0097684E">
        <w:rPr>
          <w:rFonts w:ascii="Times New Roman" w:hAnsi="Times New Roman" w:cs="Times New Roman"/>
          <w:noProof/>
          <w:sz w:val="24"/>
          <w:szCs w:val="24"/>
        </w:rPr>
        <w:t xml:space="preserve">“ </w:t>
      </w:r>
      <w:r w:rsidRPr="0097684E">
        <w:rPr>
          <w:rFonts w:ascii="Times New Roman" w:hAnsi="Times New Roman" w:cs="Times New Roman"/>
          <w:noProof/>
          <w:sz w:val="24"/>
          <w:szCs w:val="24"/>
        </w:rPr>
        <w:t>br</w:t>
      </w:r>
      <w:r w:rsidR="00E91942" w:rsidRPr="0097684E">
        <w:rPr>
          <w:rFonts w:ascii="Times New Roman" w:hAnsi="Times New Roman" w:cs="Times New Roman"/>
          <w:noProof/>
          <w:sz w:val="24"/>
          <w:szCs w:val="24"/>
        </w:rPr>
        <w:t>oj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3F8C" w:rsidRPr="0097684E">
        <w:rPr>
          <w:rFonts w:ascii="Times New Roman" w:hAnsi="Times New Roman" w:cs="Times New Roman"/>
          <w:noProof/>
          <w:sz w:val="24"/>
          <w:szCs w:val="24"/>
        </w:rPr>
        <w:t>37/22</w:t>
      </w:r>
      <w:r w:rsidRPr="0097684E">
        <w:rPr>
          <w:rFonts w:ascii="Times New Roman" w:hAnsi="Times New Roman" w:cs="Times New Roman"/>
          <w:noProof/>
          <w:sz w:val="24"/>
          <w:szCs w:val="24"/>
        </w:rPr>
        <w:t>) i Okružnice o sastavljanju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684E">
        <w:rPr>
          <w:rFonts w:ascii="Times New Roman" w:hAnsi="Times New Roman" w:cs="Times New Roman"/>
          <w:noProof/>
          <w:sz w:val="24"/>
          <w:szCs w:val="24"/>
        </w:rPr>
        <w:t>i predaji financijskih izvještaja proračuna, proračunskih i izvanproračunskih korisnika državnog proračuna te proračunskih i izvanproračunskih korisnika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proračuna jedinica lokalne i područne (regionalne) samouprave za razdoblje </w:t>
      </w:r>
      <w:r w:rsidR="007D2012" w:rsidRPr="0097684E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1. siječnja do </w:t>
      </w:r>
      <w:r w:rsidR="0097684E">
        <w:rPr>
          <w:rFonts w:ascii="Times New Roman" w:hAnsi="Times New Roman" w:cs="Times New Roman"/>
          <w:noProof/>
          <w:sz w:val="24"/>
          <w:szCs w:val="24"/>
        </w:rPr>
        <w:t>31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7684E">
        <w:rPr>
          <w:rFonts w:ascii="Times New Roman" w:hAnsi="Times New Roman" w:cs="Times New Roman"/>
          <w:noProof/>
          <w:sz w:val="24"/>
          <w:szCs w:val="24"/>
        </w:rPr>
        <w:t>prosinca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 xml:space="preserve"> 2022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.  godine od Ministarstva  financija (KLASA: 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>400-02/22-01/26</w:t>
      </w:r>
      <w:r w:rsidRPr="0097684E">
        <w:rPr>
          <w:rFonts w:ascii="Times New Roman" w:hAnsi="Times New Roman" w:cs="Times New Roman"/>
          <w:noProof/>
          <w:sz w:val="24"/>
          <w:szCs w:val="24"/>
        </w:rPr>
        <w:t>, URBROJ: 513-05-</w:t>
      </w:r>
      <w:r w:rsidR="0039371B" w:rsidRPr="0097684E">
        <w:rPr>
          <w:rFonts w:ascii="Times New Roman" w:hAnsi="Times New Roman" w:cs="Times New Roman"/>
          <w:noProof/>
          <w:sz w:val="24"/>
          <w:szCs w:val="24"/>
        </w:rPr>
        <w:t>03-2</w:t>
      </w:r>
      <w:r w:rsidR="0097684E">
        <w:rPr>
          <w:rFonts w:ascii="Times New Roman" w:hAnsi="Times New Roman" w:cs="Times New Roman"/>
          <w:noProof/>
          <w:sz w:val="24"/>
          <w:szCs w:val="24"/>
        </w:rPr>
        <w:t>3-6</w:t>
      </w:r>
      <w:r w:rsidR="008F54A2" w:rsidRPr="009768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97684E">
        <w:rPr>
          <w:rFonts w:ascii="Times New Roman" w:hAnsi="Times New Roman" w:cs="Times New Roman"/>
          <w:noProof/>
          <w:sz w:val="24"/>
          <w:szCs w:val="24"/>
        </w:rPr>
        <w:t>12.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684E">
        <w:rPr>
          <w:rFonts w:ascii="Times New Roman" w:hAnsi="Times New Roman" w:cs="Times New Roman"/>
          <w:noProof/>
          <w:sz w:val="24"/>
          <w:szCs w:val="24"/>
        </w:rPr>
        <w:t xml:space="preserve">siječnja </w:t>
      </w:r>
      <w:r w:rsidR="0066000F" w:rsidRPr="0097684E">
        <w:rPr>
          <w:rFonts w:ascii="Times New Roman" w:hAnsi="Times New Roman" w:cs="Times New Roman"/>
          <w:noProof/>
          <w:sz w:val="24"/>
          <w:szCs w:val="24"/>
        </w:rPr>
        <w:t>202</w:t>
      </w:r>
      <w:r w:rsidR="0097684E">
        <w:rPr>
          <w:rFonts w:ascii="Times New Roman" w:hAnsi="Times New Roman" w:cs="Times New Roman"/>
          <w:noProof/>
          <w:sz w:val="24"/>
          <w:szCs w:val="24"/>
        </w:rPr>
        <w:t>3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. godine), sastavljen je Financijski izvještaj </w:t>
      </w:r>
      <w:r w:rsidR="0066246C" w:rsidRPr="0097684E">
        <w:rPr>
          <w:rFonts w:ascii="Times New Roman" w:hAnsi="Times New Roman" w:cs="Times New Roman"/>
          <w:noProof/>
          <w:sz w:val="24"/>
          <w:szCs w:val="24"/>
        </w:rPr>
        <w:t>Općine Draganić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 za razdoblje siječanj 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>–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7684E">
        <w:rPr>
          <w:rFonts w:ascii="Times New Roman" w:hAnsi="Times New Roman" w:cs="Times New Roman"/>
          <w:noProof/>
          <w:sz w:val="24"/>
          <w:szCs w:val="24"/>
        </w:rPr>
        <w:t xml:space="preserve">prosinac </w:t>
      </w:r>
      <w:r w:rsidR="007C6662" w:rsidRPr="0097684E">
        <w:rPr>
          <w:rFonts w:ascii="Times New Roman" w:hAnsi="Times New Roman" w:cs="Times New Roman"/>
          <w:noProof/>
          <w:sz w:val="24"/>
          <w:szCs w:val="24"/>
        </w:rPr>
        <w:t>2022</w:t>
      </w:r>
      <w:r w:rsidR="008F54A2" w:rsidRPr="0097684E">
        <w:rPr>
          <w:rFonts w:ascii="Times New Roman" w:hAnsi="Times New Roman" w:cs="Times New Roman"/>
          <w:noProof/>
          <w:sz w:val="24"/>
          <w:szCs w:val="24"/>
        </w:rPr>
        <w:t>.</w:t>
      </w:r>
      <w:r w:rsidRPr="0097684E">
        <w:rPr>
          <w:rFonts w:ascii="Times New Roman" w:hAnsi="Times New Roman" w:cs="Times New Roman"/>
          <w:noProof/>
          <w:sz w:val="24"/>
          <w:szCs w:val="24"/>
        </w:rPr>
        <w:t xml:space="preserve"> godine koji se sastoji od: </w:t>
      </w:r>
    </w:p>
    <w:p w14:paraId="2BB117C9" w14:textId="77777777" w:rsidR="00155950" w:rsidRPr="004F7760" w:rsidRDefault="00155950" w:rsidP="00155950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4F7760">
        <w:rPr>
          <w:rFonts w:ascii="Symbol" w:eastAsia="Times New Roman" w:hAnsi="Symbol" w:cs="Calibri"/>
          <w:sz w:val="24"/>
          <w:szCs w:val="24"/>
        </w:rPr>
        <w:t></w:t>
      </w:r>
      <w:r w:rsidRPr="004F7760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 xml:space="preserve">Izvještaja o prihodima i rashodima, primicima i izdacima (Obrazac PR-RAS), </w:t>
      </w:r>
    </w:p>
    <w:p w14:paraId="43EA50E6" w14:textId="77777777" w:rsidR="00155950" w:rsidRPr="004F7760" w:rsidRDefault="00155950" w:rsidP="00155950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4F7760">
        <w:rPr>
          <w:rFonts w:ascii="Symbol" w:eastAsia="Times New Roman" w:hAnsi="Symbol" w:cs="Calibri"/>
          <w:sz w:val="24"/>
          <w:szCs w:val="24"/>
        </w:rPr>
        <w:t></w:t>
      </w:r>
      <w:r w:rsidRPr="004F7760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 xml:space="preserve">Bilance (Obrazac BIL), </w:t>
      </w:r>
    </w:p>
    <w:p w14:paraId="0F2E65B5" w14:textId="77777777" w:rsidR="00155950" w:rsidRPr="004F7760" w:rsidRDefault="00155950" w:rsidP="00155950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4F7760">
        <w:rPr>
          <w:rFonts w:ascii="Symbol" w:eastAsia="Times New Roman" w:hAnsi="Symbol" w:cs="Calibri"/>
          <w:sz w:val="24"/>
          <w:szCs w:val="24"/>
        </w:rPr>
        <w:t></w:t>
      </w:r>
      <w:r w:rsidRPr="004F7760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 xml:space="preserve">Izvještaja o rashodima prema funkcijskoj klasifikaciji (Obrazac  RAS-funkcijski), </w:t>
      </w:r>
    </w:p>
    <w:p w14:paraId="020079F8" w14:textId="77777777" w:rsidR="00155950" w:rsidRPr="004F7760" w:rsidRDefault="00155950" w:rsidP="00155950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4F7760">
        <w:rPr>
          <w:rFonts w:ascii="Symbol" w:eastAsia="Times New Roman" w:hAnsi="Symbol" w:cs="Calibri"/>
          <w:sz w:val="24"/>
          <w:szCs w:val="24"/>
        </w:rPr>
        <w:t></w:t>
      </w:r>
      <w:r w:rsidRPr="004F7760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>Izvještaja o promjenama u vrijednosti i obujmu imovine i obveza (Obrazac P-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>VRIO),</w:t>
      </w:r>
    </w:p>
    <w:p w14:paraId="6753CED2" w14:textId="77777777" w:rsidR="00155950" w:rsidRPr="004F7760" w:rsidRDefault="00155950" w:rsidP="00155950">
      <w:pPr>
        <w:spacing w:after="0" w:line="360" w:lineRule="auto"/>
        <w:ind w:left="720"/>
        <w:jc w:val="both"/>
        <w:rPr>
          <w:rFonts w:ascii="Calibri" w:eastAsia="Times New Roman" w:hAnsi="Calibri" w:cs="Calibri"/>
        </w:rPr>
      </w:pPr>
      <w:r w:rsidRPr="004F7760">
        <w:rPr>
          <w:rFonts w:ascii="Symbol" w:eastAsia="Times New Roman" w:hAnsi="Symbol" w:cs="Calibri"/>
          <w:sz w:val="24"/>
          <w:szCs w:val="24"/>
        </w:rPr>
        <w:t></w:t>
      </w:r>
      <w:r w:rsidRPr="004F7760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 xml:space="preserve">Izvještaja o obvezama (Obrazac OBVEZE) i ovih </w:t>
      </w:r>
    </w:p>
    <w:p w14:paraId="1532432F" w14:textId="77777777" w:rsidR="00155950" w:rsidRPr="004F7760" w:rsidRDefault="00155950" w:rsidP="00155950">
      <w:pPr>
        <w:spacing w:line="360" w:lineRule="auto"/>
        <w:ind w:left="720"/>
        <w:jc w:val="both"/>
        <w:rPr>
          <w:rFonts w:ascii="Calibri" w:eastAsia="Times New Roman" w:hAnsi="Calibri" w:cs="Calibri"/>
        </w:rPr>
      </w:pPr>
      <w:r w:rsidRPr="004F7760">
        <w:rPr>
          <w:rFonts w:ascii="Symbol" w:eastAsia="Times New Roman" w:hAnsi="Symbol" w:cs="Calibri"/>
          <w:sz w:val="24"/>
          <w:szCs w:val="24"/>
        </w:rPr>
        <w:t></w:t>
      </w:r>
      <w:r w:rsidRPr="004F7760">
        <w:rPr>
          <w:rFonts w:ascii="Times New Roman" w:eastAsia="Times New Roman" w:hAnsi="Times New Roman" w:cs="Times New Roman"/>
          <w:sz w:val="14"/>
          <w:szCs w:val="14"/>
        </w:rPr>
        <w:t xml:space="preserve">        </w:t>
      </w:r>
      <w:r w:rsidRPr="004F7760">
        <w:rPr>
          <w:rFonts w:ascii="Times New Roman" w:eastAsia="Times New Roman" w:hAnsi="Times New Roman" w:cs="Times New Roman"/>
          <w:sz w:val="24"/>
          <w:szCs w:val="24"/>
        </w:rPr>
        <w:t xml:space="preserve">Bilješki.  </w:t>
      </w:r>
    </w:p>
    <w:p w14:paraId="2D6AB4DF" w14:textId="77777777" w:rsidR="00C46BDB" w:rsidRPr="00BF57B4" w:rsidRDefault="00C46BDB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14:paraId="71A9A3AE" w14:textId="77777777" w:rsidR="00573D18" w:rsidRPr="00BF57B4" w:rsidRDefault="00573D18" w:rsidP="00853FF8">
      <w:pPr>
        <w:spacing w:after="120"/>
        <w:rPr>
          <w:rFonts w:ascii="Times New Roman" w:hAnsi="Times New Roman" w:cs="Times New Roman"/>
          <w:b/>
          <w:noProof/>
          <w:sz w:val="24"/>
          <w:szCs w:val="24"/>
        </w:rPr>
      </w:pPr>
      <w:r w:rsidRPr="00BF57B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IZVJEŠTAJ O PRIHODIMA I RASHODIMA, PRIMICIMA I IZDACIMA  </w:t>
      </w:r>
    </w:p>
    <w:p w14:paraId="13F92DCB" w14:textId="77777777" w:rsidR="00573D18" w:rsidRPr="00BF57B4" w:rsidRDefault="00573D18" w:rsidP="00573D18">
      <w:pPr>
        <w:spacing w:after="120"/>
        <w:rPr>
          <w:rFonts w:ascii="Times New Roman" w:hAnsi="Times New Roman" w:cs="Times New Roman"/>
          <w:noProof/>
          <w:sz w:val="24"/>
          <w:szCs w:val="24"/>
        </w:rPr>
      </w:pPr>
    </w:p>
    <w:p w14:paraId="595E87A8" w14:textId="77777777" w:rsidR="00573D18" w:rsidRPr="00FE78CC" w:rsidRDefault="00573D18" w:rsidP="00573D18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FE78CC">
        <w:rPr>
          <w:rFonts w:ascii="Times New Roman" w:hAnsi="Times New Roman" w:cs="Times New Roman"/>
          <w:b/>
          <w:noProof/>
          <w:sz w:val="24"/>
          <w:szCs w:val="24"/>
        </w:rPr>
        <w:t>Bilješka broj 1 – Prihodi i primici / rashodi i izdaci</w:t>
      </w:r>
    </w:p>
    <w:p w14:paraId="4BF33C1B" w14:textId="56BEFFD0" w:rsidR="00FA52EF" w:rsidRPr="00BF57B4" w:rsidRDefault="00FA52EF" w:rsidP="00853FF8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Ukupni prihodi i primici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>(</w:t>
      </w:r>
      <w:r w:rsidR="007C6662">
        <w:rPr>
          <w:rFonts w:ascii="Times New Roman" w:hAnsi="Times New Roman" w:cs="Times New Roman"/>
          <w:noProof/>
          <w:sz w:val="24"/>
          <w:szCs w:val="24"/>
        </w:rPr>
        <w:t>šifra X678</w:t>
      </w:r>
      <w:r w:rsidR="00853FF8"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u 20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2</w:t>
      </w:r>
      <w:r w:rsidR="007C6662">
        <w:rPr>
          <w:rFonts w:ascii="Times New Roman" w:hAnsi="Times New Roman" w:cs="Times New Roman"/>
          <w:noProof/>
          <w:sz w:val="24"/>
          <w:szCs w:val="24"/>
        </w:rPr>
        <w:t>2</w:t>
      </w:r>
      <w:r w:rsidRPr="00BF57B4">
        <w:rPr>
          <w:rFonts w:ascii="Times New Roman" w:hAnsi="Times New Roman" w:cs="Times New Roman"/>
          <w:noProof/>
          <w:sz w:val="24"/>
          <w:szCs w:val="24"/>
        </w:rPr>
        <w:t>. godin</w:t>
      </w:r>
      <w:r w:rsidR="007C6662">
        <w:rPr>
          <w:rFonts w:ascii="Times New Roman" w:hAnsi="Times New Roman" w:cs="Times New Roman"/>
          <w:noProof/>
          <w:sz w:val="24"/>
          <w:szCs w:val="24"/>
        </w:rPr>
        <w:t>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ostvareni su u iznosu od</w:t>
      </w:r>
      <w:r w:rsidR="004961FE" w:rsidRPr="004961FE">
        <w:t xml:space="preserve"> </w:t>
      </w:r>
      <w:r w:rsidR="00155950">
        <w:rPr>
          <w:rFonts w:ascii="Times New Roman" w:hAnsi="Times New Roman" w:cs="Times New Roman"/>
          <w:sz w:val="24"/>
          <w:szCs w:val="24"/>
        </w:rPr>
        <w:t>8.857.605,08</w:t>
      </w:r>
      <w:r w:rsidR="00F02DDE"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kn i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>već</w:t>
      </w:r>
      <w:r w:rsidR="008875EA" w:rsidRPr="00BF57B4">
        <w:rPr>
          <w:rFonts w:ascii="Times New Roman" w:hAnsi="Times New Roman" w:cs="Times New Roman"/>
          <w:noProof/>
          <w:sz w:val="24"/>
          <w:szCs w:val="24"/>
        </w:rPr>
        <w:t>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za </w:t>
      </w:r>
      <w:r w:rsidR="00155950">
        <w:rPr>
          <w:rFonts w:ascii="Times New Roman" w:hAnsi="Times New Roman" w:cs="Times New Roman"/>
          <w:noProof/>
          <w:sz w:val="24"/>
          <w:szCs w:val="24"/>
        </w:rPr>
        <w:t>18,90</w:t>
      </w:r>
      <w:r w:rsidR="00F02D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u odnosu na </w:t>
      </w:r>
      <w:r w:rsidR="00D8770C">
        <w:rPr>
          <w:rFonts w:ascii="Times New Roman" w:hAnsi="Times New Roman" w:cs="Times New Roman"/>
          <w:noProof/>
          <w:sz w:val="24"/>
          <w:szCs w:val="24"/>
        </w:rPr>
        <w:t>ostvar</w:t>
      </w:r>
      <w:r w:rsidR="001E3616">
        <w:rPr>
          <w:rFonts w:ascii="Times New Roman" w:hAnsi="Times New Roman" w:cs="Times New Roman"/>
          <w:noProof/>
          <w:sz w:val="24"/>
          <w:szCs w:val="24"/>
        </w:rPr>
        <w:t>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nje </w:t>
      </w:r>
      <w:r w:rsidR="003B0E73">
        <w:rPr>
          <w:rFonts w:ascii="Times New Roman" w:hAnsi="Times New Roman" w:cs="Times New Roman"/>
          <w:noProof/>
          <w:sz w:val="24"/>
          <w:szCs w:val="24"/>
        </w:rPr>
        <w:t>prethodne godine.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Iznos ukupnih prihoda i primitaka odnosi se na prihode poslovanja, dok prihodi od prodaje nefinancijske imovine i primici od financijske imovine</w:t>
      </w:r>
      <w:r w:rsidR="00D8770C">
        <w:rPr>
          <w:rFonts w:ascii="Times New Roman" w:hAnsi="Times New Roman" w:cs="Times New Roman"/>
          <w:noProof/>
          <w:sz w:val="24"/>
          <w:szCs w:val="24"/>
        </w:rPr>
        <w:t xml:space="preserve"> i zaduživanja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nisu ostvareni.</w:t>
      </w:r>
    </w:p>
    <w:p w14:paraId="4D55A67C" w14:textId="6C24778E" w:rsidR="00853FF8" w:rsidRPr="00BF57B4" w:rsidRDefault="00853FF8" w:rsidP="00853FF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Ukupni rashodi i izdaci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3B0E73">
        <w:rPr>
          <w:rFonts w:ascii="Times New Roman" w:hAnsi="Times New Roman" w:cs="Times New Roman"/>
          <w:noProof/>
          <w:sz w:val="24"/>
          <w:szCs w:val="24"/>
        </w:rPr>
        <w:t>šifra Y345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F02DDE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="003B0E73">
        <w:rPr>
          <w:rFonts w:ascii="Times New Roman" w:hAnsi="Times New Roman" w:cs="Times New Roman"/>
          <w:noProof/>
          <w:sz w:val="24"/>
          <w:szCs w:val="24"/>
        </w:rPr>
        <w:t>2022. godine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izvršeni su u iznosu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od</w:t>
      </w:r>
      <w:r w:rsidR="00F02D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5950">
        <w:rPr>
          <w:rFonts w:ascii="Times New Roman" w:hAnsi="Times New Roman" w:cs="Times New Roman"/>
          <w:noProof/>
          <w:sz w:val="24"/>
          <w:szCs w:val="24"/>
        </w:rPr>
        <w:t>8.096.769,79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kn i </w:t>
      </w:r>
      <w:r w:rsidR="00155950">
        <w:rPr>
          <w:rFonts w:ascii="Times New Roman" w:hAnsi="Times New Roman" w:cs="Times New Roman"/>
          <w:noProof/>
          <w:sz w:val="24"/>
          <w:szCs w:val="24"/>
        </w:rPr>
        <w:t>veći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su za</w:t>
      </w:r>
      <w:r w:rsidR="0066000F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5950">
        <w:rPr>
          <w:rFonts w:ascii="Times New Roman" w:hAnsi="Times New Roman" w:cs="Times New Roman"/>
          <w:noProof/>
          <w:sz w:val="24"/>
          <w:szCs w:val="24"/>
        </w:rPr>
        <w:t>22,10</w:t>
      </w:r>
      <w:r w:rsidRPr="00BF57B4">
        <w:rPr>
          <w:rFonts w:ascii="Times New Roman" w:hAnsi="Times New Roman" w:cs="Times New Roman"/>
          <w:noProof/>
          <w:sz w:val="24"/>
          <w:szCs w:val="24"/>
        </w:rPr>
        <w:t>% u odnosu na</w:t>
      </w:r>
      <w:r w:rsidR="0067218A">
        <w:rPr>
          <w:rFonts w:ascii="Times New Roman" w:hAnsi="Times New Roman" w:cs="Times New Roman"/>
          <w:noProof/>
          <w:sz w:val="24"/>
          <w:szCs w:val="24"/>
        </w:rPr>
        <w:t xml:space="preserve"> izvršenje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B0E73">
        <w:rPr>
          <w:rFonts w:ascii="Times New Roman" w:hAnsi="Times New Roman" w:cs="Times New Roman"/>
          <w:noProof/>
          <w:sz w:val="24"/>
          <w:szCs w:val="24"/>
        </w:rPr>
        <w:t>prethodne godine.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Unutar ukupnih rashoda i izdataka, rashodi poslovanja u </w:t>
      </w:r>
      <w:r w:rsidR="003B0E73">
        <w:rPr>
          <w:rFonts w:ascii="Times New Roman" w:hAnsi="Times New Roman" w:cs="Times New Roman"/>
          <w:noProof/>
          <w:sz w:val="24"/>
          <w:szCs w:val="24"/>
        </w:rPr>
        <w:t>2022. godine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izvršeni su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 iznosu od </w:t>
      </w:r>
      <w:r w:rsidR="00155950">
        <w:rPr>
          <w:rFonts w:ascii="Times New Roman" w:hAnsi="Times New Roman" w:cs="Times New Roman"/>
          <w:noProof/>
          <w:sz w:val="24"/>
          <w:szCs w:val="24"/>
        </w:rPr>
        <w:t>5.374.873,06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kn odnosno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155950">
        <w:rPr>
          <w:rFonts w:ascii="Times New Roman" w:hAnsi="Times New Roman" w:cs="Times New Roman"/>
          <w:noProof/>
          <w:sz w:val="24"/>
          <w:szCs w:val="24"/>
        </w:rPr>
        <w:t>22,30</w:t>
      </w:r>
      <w:r w:rsidR="00F02D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B43A96" w:rsidRPr="00BF57B4">
        <w:rPr>
          <w:rFonts w:ascii="Times New Roman" w:hAnsi="Times New Roman" w:cs="Times New Roman"/>
          <w:noProof/>
          <w:sz w:val="24"/>
          <w:szCs w:val="24"/>
        </w:rPr>
        <w:t>više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u odnosu na </w:t>
      </w:r>
      <w:r w:rsidR="003B0E73">
        <w:rPr>
          <w:rFonts w:ascii="Times New Roman" w:hAnsi="Times New Roman" w:cs="Times New Roman"/>
          <w:noProof/>
          <w:sz w:val="24"/>
          <w:szCs w:val="24"/>
        </w:rPr>
        <w:t>izvršenje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2DDE">
        <w:rPr>
          <w:rFonts w:ascii="Times New Roman" w:hAnsi="Times New Roman" w:cs="Times New Roman"/>
          <w:noProof/>
          <w:sz w:val="24"/>
          <w:szCs w:val="24"/>
        </w:rPr>
        <w:t>p</w:t>
      </w:r>
      <w:r w:rsidR="003B0E73">
        <w:rPr>
          <w:rFonts w:ascii="Times New Roman" w:hAnsi="Times New Roman" w:cs="Times New Roman"/>
          <w:noProof/>
          <w:sz w:val="24"/>
          <w:szCs w:val="24"/>
        </w:rPr>
        <w:t>rethodne godine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, rashodi za nabavu nefinancijske imovine izvršeni su </w:t>
      </w:r>
      <w:r w:rsidR="00B2677D">
        <w:rPr>
          <w:rFonts w:ascii="Times New Roman" w:hAnsi="Times New Roman" w:cs="Times New Roman"/>
          <w:noProof/>
          <w:sz w:val="24"/>
          <w:szCs w:val="24"/>
        </w:rPr>
        <w:t>u iznosu od</w:t>
      </w:r>
      <w:r w:rsidR="00F02D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5950">
        <w:rPr>
          <w:rFonts w:ascii="Times New Roman" w:hAnsi="Times New Roman" w:cs="Times New Roman"/>
          <w:noProof/>
          <w:sz w:val="24"/>
          <w:szCs w:val="24"/>
        </w:rPr>
        <w:t>2.721.896,73</w:t>
      </w:r>
      <w:r w:rsidR="00B2677D">
        <w:rPr>
          <w:rFonts w:ascii="Times New Roman" w:hAnsi="Times New Roman" w:cs="Times New Roman"/>
          <w:noProof/>
          <w:sz w:val="24"/>
          <w:szCs w:val="24"/>
        </w:rPr>
        <w:t xml:space="preserve"> kn odnosno </w:t>
      </w:r>
      <w:r w:rsidRPr="00BF57B4">
        <w:rPr>
          <w:rFonts w:ascii="Times New Roman" w:hAnsi="Times New Roman" w:cs="Times New Roman"/>
          <w:noProof/>
          <w:sz w:val="24"/>
          <w:szCs w:val="24"/>
        </w:rPr>
        <w:t>za</w:t>
      </w:r>
      <w:r w:rsidR="001C12CE"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5950">
        <w:rPr>
          <w:rFonts w:ascii="Times New Roman" w:hAnsi="Times New Roman" w:cs="Times New Roman"/>
          <w:noProof/>
          <w:sz w:val="24"/>
          <w:szCs w:val="24"/>
        </w:rPr>
        <w:t>21,60</w:t>
      </w:r>
      <w:r w:rsidR="00F02D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="00155950">
        <w:rPr>
          <w:rFonts w:ascii="Times New Roman" w:hAnsi="Times New Roman" w:cs="Times New Roman"/>
          <w:noProof/>
          <w:sz w:val="24"/>
          <w:szCs w:val="24"/>
        </w:rPr>
        <w:t xml:space="preserve">više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u odnosu </w:t>
      </w:r>
      <w:r w:rsidR="003B0E73" w:rsidRPr="00BF57B4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3B0E73">
        <w:rPr>
          <w:rFonts w:ascii="Times New Roman" w:hAnsi="Times New Roman" w:cs="Times New Roman"/>
          <w:noProof/>
          <w:sz w:val="24"/>
          <w:szCs w:val="24"/>
        </w:rPr>
        <w:t>prethodn</w:t>
      </w:r>
      <w:r w:rsidR="00155950">
        <w:rPr>
          <w:rFonts w:ascii="Times New Roman" w:hAnsi="Times New Roman" w:cs="Times New Roman"/>
          <w:noProof/>
          <w:sz w:val="24"/>
          <w:szCs w:val="24"/>
        </w:rPr>
        <w:t>u</w:t>
      </w:r>
      <w:r w:rsidR="003B0E73">
        <w:rPr>
          <w:rFonts w:ascii="Times New Roman" w:hAnsi="Times New Roman" w:cs="Times New Roman"/>
          <w:noProof/>
          <w:sz w:val="24"/>
          <w:szCs w:val="24"/>
        </w:rPr>
        <w:t xml:space="preserve"> godin</w:t>
      </w:r>
      <w:r w:rsidR="00155950">
        <w:rPr>
          <w:rFonts w:ascii="Times New Roman" w:hAnsi="Times New Roman" w:cs="Times New Roman"/>
          <w:noProof/>
          <w:sz w:val="24"/>
          <w:szCs w:val="24"/>
        </w:rPr>
        <w:t>u</w:t>
      </w:r>
      <w:r w:rsidRPr="00BF57B4">
        <w:rPr>
          <w:rFonts w:ascii="Times New Roman" w:hAnsi="Times New Roman" w:cs="Times New Roman"/>
          <w:noProof/>
          <w:sz w:val="24"/>
          <w:szCs w:val="24"/>
        </w:rPr>
        <w:t>, dok izdaci za financijsku imovinu i otplate zajmova nisu izvršeni.</w:t>
      </w:r>
    </w:p>
    <w:p w14:paraId="69E0B23E" w14:textId="77777777" w:rsidR="00AD6063" w:rsidRPr="00FE78CC" w:rsidRDefault="00AD6063" w:rsidP="00853FF8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B16412F" w14:textId="77777777" w:rsidR="006842B9" w:rsidRPr="00BF57B4" w:rsidRDefault="006842B9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2 </w:t>
      </w:r>
      <w:r w:rsidR="00F76F9D" w:rsidRPr="00FE78CC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76F9D" w:rsidRPr="00FE78CC">
        <w:rPr>
          <w:rFonts w:ascii="Times New Roman" w:hAnsi="Times New Roman" w:cs="Times New Roman"/>
          <w:b/>
          <w:noProof/>
          <w:sz w:val="24"/>
          <w:szCs w:val="24"/>
        </w:rPr>
        <w:t>Prihodi poslovanja</w:t>
      </w:r>
      <w:r w:rsidRPr="00FE78C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6CBDEC6" w14:textId="3AD4040E" w:rsidR="006842B9" w:rsidRDefault="006842B9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Prihodi poslovanja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444FEF">
        <w:rPr>
          <w:rFonts w:ascii="Times New Roman" w:hAnsi="Times New Roman" w:cs="Times New Roman"/>
          <w:noProof/>
          <w:sz w:val="24"/>
          <w:szCs w:val="24"/>
        </w:rPr>
        <w:t>šifra 6</w:t>
      </w:r>
      <w:r w:rsidRPr="00BF57B4">
        <w:rPr>
          <w:rFonts w:ascii="Times New Roman" w:hAnsi="Times New Roman" w:cs="Times New Roman"/>
          <w:noProof/>
          <w:sz w:val="24"/>
          <w:szCs w:val="24"/>
        </w:rPr>
        <w:t>) ostvareni su u iznosu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5950">
        <w:rPr>
          <w:rFonts w:ascii="Times New Roman" w:hAnsi="Times New Roman" w:cs="Times New Roman"/>
          <w:noProof/>
          <w:sz w:val="24"/>
          <w:szCs w:val="24"/>
        </w:rPr>
        <w:t>8.857.605,08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kn. </w:t>
      </w:r>
    </w:p>
    <w:p w14:paraId="5050F5CC" w14:textId="658EC102" w:rsidR="000245A8" w:rsidRDefault="000245A8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Porez i prirez na dohodak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611) ostvaren je u iznosu od </w:t>
      </w:r>
      <w:r w:rsidR="00155950">
        <w:rPr>
          <w:rFonts w:ascii="Times New Roman" w:hAnsi="Times New Roman" w:cs="Times New Roman"/>
          <w:noProof/>
          <w:sz w:val="24"/>
          <w:szCs w:val="24"/>
        </w:rPr>
        <w:t>4.478.346,92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kn i bilježi povećanje za </w:t>
      </w:r>
      <w:r w:rsidR="00155950">
        <w:rPr>
          <w:rFonts w:ascii="Times New Roman" w:hAnsi="Times New Roman" w:cs="Times New Roman"/>
          <w:noProof/>
          <w:sz w:val="24"/>
          <w:szCs w:val="24"/>
        </w:rPr>
        <w:t>43,40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u odnosu na prethodnu godinu. </w:t>
      </w:r>
    </w:p>
    <w:p w14:paraId="65B9EC80" w14:textId="0CCA1062" w:rsidR="000245A8" w:rsidRDefault="002C4D3B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Porezi na imovinu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šifra 613) ostvareni su iznosu od </w:t>
      </w:r>
      <w:r w:rsidR="00155950">
        <w:rPr>
          <w:rFonts w:ascii="Times New Roman" w:hAnsi="Times New Roman" w:cs="Times New Roman"/>
          <w:noProof/>
          <w:sz w:val="24"/>
          <w:szCs w:val="24"/>
        </w:rPr>
        <w:t>505.107,26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kn te bilježe povećanje za </w:t>
      </w:r>
      <w:r w:rsidR="000F2916">
        <w:rPr>
          <w:rFonts w:ascii="Times New Roman" w:hAnsi="Times New Roman" w:cs="Times New Roman"/>
          <w:noProof/>
          <w:sz w:val="24"/>
          <w:szCs w:val="24"/>
        </w:rPr>
        <w:t>37,</w:t>
      </w:r>
      <w:r w:rsidR="00155950">
        <w:rPr>
          <w:rFonts w:ascii="Times New Roman" w:hAnsi="Times New Roman" w:cs="Times New Roman"/>
          <w:noProof/>
          <w:sz w:val="24"/>
          <w:szCs w:val="24"/>
        </w:rPr>
        <w:t>60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% u odnosu na prethodnu godinu. Najveće povećanje vidljivo je 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kod Povremenih poreza na imovinu (šifra 6134) u iznosu 385.357,66 kn koji se odnose na porez na promet nekretninama i na 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Stalnim porezima na nepokretnu imovinu (šifra 6131) 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u iznosu </w:t>
      </w:r>
      <w:r w:rsidR="00FC2A93">
        <w:rPr>
          <w:rFonts w:ascii="Times New Roman" w:hAnsi="Times New Roman" w:cs="Times New Roman"/>
          <w:noProof/>
          <w:sz w:val="24"/>
          <w:szCs w:val="24"/>
        </w:rPr>
        <w:t>119.749,60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 kn koji se odnose na porez na kuće za odmor </w:t>
      </w:r>
      <w:r w:rsidR="000245A8">
        <w:rPr>
          <w:rFonts w:ascii="Times New Roman" w:hAnsi="Times New Roman" w:cs="Times New Roman"/>
          <w:noProof/>
          <w:sz w:val="24"/>
          <w:szCs w:val="24"/>
        </w:rPr>
        <w:t xml:space="preserve">te </w:t>
      </w:r>
      <w:r w:rsidR="000F2916">
        <w:rPr>
          <w:rFonts w:ascii="Times New Roman" w:hAnsi="Times New Roman" w:cs="Times New Roman"/>
          <w:noProof/>
          <w:sz w:val="24"/>
          <w:szCs w:val="24"/>
        </w:rPr>
        <w:t>čiju naplatu provodi Porezna uprava.</w:t>
      </w:r>
    </w:p>
    <w:p w14:paraId="2EBF448E" w14:textId="03E7F989" w:rsidR="002C4D3B" w:rsidRDefault="002C4D3B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Porezi na robu i usluge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614) ostvareni su iznosu od </w:t>
      </w:r>
      <w:r w:rsidR="00FC2A93">
        <w:rPr>
          <w:rFonts w:ascii="Times New Roman" w:hAnsi="Times New Roman" w:cs="Times New Roman"/>
          <w:noProof/>
          <w:sz w:val="24"/>
          <w:szCs w:val="24"/>
        </w:rPr>
        <w:t>100.867,06</w:t>
      </w:r>
      <w:r w:rsidR="000F291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kn te bilježe značajno povećanje uslijed ostvarenih prihoda od poreza na potrošnju alkoholnih pića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 u iznosu od 98.117,33 kn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6142) te naplate preostalog duga na ime poreza na tvrku koji je ukinut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 u iznosu od 2</w:t>
      </w:r>
      <w:r w:rsidR="006A0384">
        <w:rPr>
          <w:rFonts w:ascii="Times New Roman" w:hAnsi="Times New Roman" w:cs="Times New Roman"/>
          <w:noProof/>
          <w:sz w:val="24"/>
          <w:szCs w:val="24"/>
        </w:rPr>
        <w:t>.</w:t>
      </w:r>
      <w:r w:rsidR="00FC2A93">
        <w:rPr>
          <w:rFonts w:ascii="Times New Roman" w:hAnsi="Times New Roman" w:cs="Times New Roman"/>
          <w:noProof/>
          <w:sz w:val="24"/>
          <w:szCs w:val="24"/>
        </w:rPr>
        <w:t>749,73 kn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6145). Značajno bolja naplata poreza na potrošnju alkoholnih pića je uslijed rada ugostiteljskih objekata jer u </w:t>
      </w:r>
      <w:r w:rsidR="00CA54B2">
        <w:rPr>
          <w:rFonts w:ascii="Times New Roman" w:hAnsi="Times New Roman" w:cs="Times New Roman"/>
          <w:noProof/>
          <w:sz w:val="24"/>
          <w:szCs w:val="24"/>
        </w:rPr>
        <w:t>prethodnom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razdoblju ugostiteljski objekti nisu radili zbog Covid 19.</w:t>
      </w:r>
    </w:p>
    <w:p w14:paraId="0610E340" w14:textId="064EE901" w:rsidR="002C4D3B" w:rsidRDefault="002C4D3B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Pomoći proračunu iz drugih proračuna i izvanproračunskim korisnicima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633</w:t>
      </w:r>
      <w:r w:rsidRPr="002C4D3B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ostvareni su iznosu od </w:t>
      </w:r>
      <w:r w:rsidR="00F1101C" w:rsidRPr="00F1101C">
        <w:rPr>
          <w:rFonts w:ascii="Times New Roman" w:hAnsi="Times New Roman" w:cs="Times New Roman"/>
          <w:noProof/>
          <w:sz w:val="24"/>
          <w:szCs w:val="24"/>
        </w:rPr>
        <w:t>1.</w:t>
      </w:r>
      <w:r w:rsidR="00FC2A93">
        <w:rPr>
          <w:rFonts w:ascii="Times New Roman" w:hAnsi="Times New Roman" w:cs="Times New Roman"/>
          <w:noProof/>
          <w:sz w:val="24"/>
          <w:szCs w:val="24"/>
        </w:rPr>
        <w:t>805</w:t>
      </w:r>
      <w:r w:rsidR="00F1101C" w:rsidRPr="00F1101C">
        <w:rPr>
          <w:rFonts w:ascii="Times New Roman" w:hAnsi="Times New Roman" w:cs="Times New Roman"/>
          <w:noProof/>
          <w:sz w:val="24"/>
          <w:szCs w:val="24"/>
        </w:rPr>
        <w:t>.</w:t>
      </w:r>
      <w:r w:rsidR="00FC2A93">
        <w:rPr>
          <w:rFonts w:ascii="Times New Roman" w:hAnsi="Times New Roman" w:cs="Times New Roman"/>
          <w:noProof/>
          <w:sz w:val="24"/>
          <w:szCs w:val="24"/>
        </w:rPr>
        <w:t>098,00</w:t>
      </w:r>
      <w:r w:rsidR="00F110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kn te bilježe </w:t>
      </w:r>
      <w:r w:rsidR="00FC2A93">
        <w:rPr>
          <w:rFonts w:ascii="Times New Roman" w:hAnsi="Times New Roman" w:cs="Times New Roman"/>
          <w:noProof/>
          <w:sz w:val="24"/>
          <w:szCs w:val="24"/>
        </w:rPr>
        <w:t>povećanje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</w:t>
      </w:r>
      <w:r w:rsidR="00FC2A93">
        <w:rPr>
          <w:rFonts w:ascii="Times New Roman" w:hAnsi="Times New Roman" w:cs="Times New Roman"/>
          <w:noProof/>
          <w:sz w:val="24"/>
          <w:szCs w:val="24"/>
        </w:rPr>
        <w:t>2,10</w:t>
      </w:r>
      <w:r w:rsidR="00F110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% u odnosu na 2021.g. Sastoje se od 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(šifra 6331) :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tekućih pomoći iz državnog proračuna za fiskalno izravnanje </w:t>
      </w:r>
      <w:r w:rsidR="005F70C7">
        <w:rPr>
          <w:rFonts w:ascii="Times New Roman" w:hAnsi="Times New Roman" w:cs="Times New Roman"/>
          <w:noProof/>
          <w:sz w:val="24"/>
          <w:szCs w:val="24"/>
        </w:rPr>
        <w:t>u iznosu od</w:t>
      </w:r>
      <w:r w:rsidR="00F1101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C2A93">
        <w:rPr>
          <w:rFonts w:ascii="Times New Roman" w:hAnsi="Times New Roman" w:cs="Times New Roman"/>
          <w:noProof/>
          <w:sz w:val="24"/>
          <w:szCs w:val="24"/>
        </w:rPr>
        <w:t>1.059.724,99</w:t>
      </w:r>
      <w:r w:rsidR="005F70C7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, tekuće pomoći od grada Jastrebarskog u iznosu od 20.000,00 kn za groblje 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tekuće pomoći od Karlovačke županije za manifestacije u iznosu od 10.000,00 kn. Kapitalne pomoći (šifra 6332) ostvarene su u iznosu od 715.373,01 kn i sastoje se od </w:t>
      </w:r>
      <w:r>
        <w:rPr>
          <w:rFonts w:ascii="Times New Roman" w:hAnsi="Times New Roman" w:cs="Times New Roman"/>
          <w:noProof/>
          <w:sz w:val="24"/>
          <w:szCs w:val="24"/>
        </w:rPr>
        <w:t>kapitalne pomoći od grada Karlovca za sukcesiju</w:t>
      </w:r>
      <w:r w:rsidR="00FC2A93"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="00F950D3">
        <w:rPr>
          <w:rFonts w:ascii="Times New Roman" w:hAnsi="Times New Roman" w:cs="Times New Roman"/>
          <w:noProof/>
          <w:sz w:val="24"/>
          <w:szCs w:val="24"/>
        </w:rPr>
        <w:t xml:space="preserve">47.026,14 kn,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kapitalne pomoći od Karlovačke županije za reambulaciju u iznosu od </w:t>
      </w:r>
      <w:r w:rsidR="00F950D3">
        <w:rPr>
          <w:rFonts w:ascii="Times New Roman" w:hAnsi="Times New Roman" w:cs="Times New Roman"/>
          <w:noProof/>
          <w:sz w:val="24"/>
          <w:szCs w:val="24"/>
        </w:rPr>
        <w:t>318.346,87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="00F950D3">
        <w:rPr>
          <w:rFonts w:ascii="Times New Roman" w:hAnsi="Times New Roman" w:cs="Times New Roman"/>
          <w:noProof/>
          <w:sz w:val="24"/>
          <w:szCs w:val="24"/>
        </w:rPr>
        <w:t xml:space="preserve"> i pješačke staze u iznosu </w:t>
      </w:r>
      <w:r w:rsidR="00F950D3">
        <w:rPr>
          <w:rFonts w:ascii="Times New Roman" w:hAnsi="Times New Roman" w:cs="Times New Roman"/>
          <w:noProof/>
          <w:sz w:val="24"/>
          <w:szCs w:val="24"/>
        </w:rPr>
        <w:lastRenderedPageBreak/>
        <w:t>50.000,00 kn te kapitalne pomoći iz državnog proračuna u ukupnom iznosu od 300.000,00 kn ( 200.000,00 kn modernizacija javne rasvjete, 100.000,00 kn asfaltiranje nerazvrstanih cesta)</w:t>
      </w:r>
    </w:p>
    <w:p w14:paraId="4797AC7E" w14:textId="18976AC6" w:rsidR="006F7A4D" w:rsidRDefault="006F7A4D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Prihodi od financijske imovine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641) ostvareni su iznosu od 3</w:t>
      </w:r>
      <w:r w:rsidR="006A038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>279,92 kn i odnose se na prihode od zateznih kamata.</w:t>
      </w:r>
    </w:p>
    <w:p w14:paraId="4F9DB3BB" w14:textId="1E3AF3F4" w:rsidR="000245A8" w:rsidRDefault="00FE78CC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Prihodi od nefinancijske imovine</w:t>
      </w:r>
      <w:r w:rsidRPr="00FE78CC">
        <w:rPr>
          <w:rFonts w:ascii="Times New Roman" w:hAnsi="Times New Roman" w:cs="Times New Roman"/>
          <w:noProof/>
          <w:sz w:val="24"/>
          <w:szCs w:val="24"/>
        </w:rPr>
        <w:t xml:space="preserve"> (šifre 642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ostvareni su iznosu od </w:t>
      </w:r>
      <w:r w:rsidR="006F7A4D">
        <w:rPr>
          <w:rFonts w:ascii="Times New Roman" w:hAnsi="Times New Roman" w:cs="Times New Roman"/>
          <w:noProof/>
          <w:sz w:val="24"/>
          <w:szCs w:val="24"/>
        </w:rPr>
        <w:t>509.824,63</w:t>
      </w:r>
      <w:r w:rsidR="00BF733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kn te bilježe značajno povećanje od </w:t>
      </w:r>
      <w:r w:rsidR="006F7A4D">
        <w:rPr>
          <w:rFonts w:ascii="Times New Roman" w:hAnsi="Times New Roman" w:cs="Times New Roman"/>
          <w:noProof/>
          <w:sz w:val="24"/>
          <w:szCs w:val="24"/>
        </w:rPr>
        <w:t xml:space="preserve">108,10 </w:t>
      </w:r>
      <w:r>
        <w:rPr>
          <w:rFonts w:ascii="Times New Roman" w:hAnsi="Times New Roman" w:cs="Times New Roman"/>
          <w:noProof/>
          <w:sz w:val="24"/>
          <w:szCs w:val="24"/>
        </w:rPr>
        <w:t>% u odnosu na prethodn</w:t>
      </w:r>
      <w:r w:rsidR="006F7A4D">
        <w:rPr>
          <w:rFonts w:ascii="Times New Roman" w:hAnsi="Times New Roman" w:cs="Times New Roman"/>
          <w:noProof/>
          <w:sz w:val="24"/>
          <w:szCs w:val="24"/>
        </w:rPr>
        <w:t>u godinu</w:t>
      </w:r>
      <w:r>
        <w:rPr>
          <w:rFonts w:ascii="Times New Roman" w:hAnsi="Times New Roman" w:cs="Times New Roman"/>
          <w:noProof/>
          <w:sz w:val="24"/>
          <w:szCs w:val="24"/>
        </w:rPr>
        <w:t>. Najveće povećanje prikazano je na Prihodu od zakupa i iznajmljivanja imovin</w:t>
      </w:r>
      <w:r w:rsidR="008213A5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6422) </w:t>
      </w:r>
      <w:r w:rsidR="000245A8">
        <w:rPr>
          <w:rFonts w:ascii="Times New Roman" w:hAnsi="Times New Roman" w:cs="Times New Roman"/>
          <w:noProof/>
          <w:sz w:val="24"/>
          <w:szCs w:val="24"/>
        </w:rPr>
        <w:t>uslijed dopunskog rješenja Hakoma koje se odnosi na pravo služnosti od H</w:t>
      </w:r>
      <w:r>
        <w:rPr>
          <w:rFonts w:ascii="Times New Roman" w:hAnsi="Times New Roman" w:cs="Times New Roman"/>
          <w:noProof/>
          <w:sz w:val="24"/>
          <w:szCs w:val="24"/>
        </w:rPr>
        <w:t>rvatskog telekoma te je ostvaren značajan prih</w:t>
      </w:r>
      <w:r w:rsidR="00BF7332">
        <w:rPr>
          <w:rFonts w:ascii="Times New Roman" w:hAnsi="Times New Roman" w:cs="Times New Roman"/>
          <w:noProof/>
          <w:sz w:val="24"/>
          <w:szCs w:val="24"/>
        </w:rPr>
        <w:t>od u odnosu na prethodn</w:t>
      </w:r>
      <w:r w:rsidR="008213A5">
        <w:rPr>
          <w:rFonts w:ascii="Times New Roman" w:hAnsi="Times New Roman" w:cs="Times New Roman"/>
          <w:noProof/>
          <w:sz w:val="24"/>
          <w:szCs w:val="24"/>
        </w:rPr>
        <w:t>u</w:t>
      </w:r>
      <w:r w:rsidR="00BF7332">
        <w:rPr>
          <w:rFonts w:ascii="Times New Roman" w:hAnsi="Times New Roman" w:cs="Times New Roman"/>
          <w:noProof/>
          <w:sz w:val="24"/>
          <w:szCs w:val="24"/>
        </w:rPr>
        <w:t xml:space="preserve"> godin</w:t>
      </w:r>
      <w:r w:rsidR="008213A5">
        <w:rPr>
          <w:rFonts w:ascii="Times New Roman" w:hAnsi="Times New Roman" w:cs="Times New Roman"/>
          <w:noProof/>
          <w:sz w:val="24"/>
          <w:szCs w:val="24"/>
        </w:rPr>
        <w:t>u</w:t>
      </w:r>
      <w:r w:rsidR="00BF7332">
        <w:rPr>
          <w:rFonts w:ascii="Times New Roman" w:hAnsi="Times New Roman" w:cs="Times New Roman"/>
          <w:noProof/>
          <w:sz w:val="24"/>
          <w:szCs w:val="24"/>
        </w:rPr>
        <w:t xml:space="preserve"> te na Naknadi za korištenje nefinancijske imovine (šifra 6423) zbog više ostvarene naknade za grobna mjesta.</w:t>
      </w:r>
    </w:p>
    <w:p w14:paraId="248D4B18" w14:textId="1D741D8D" w:rsidR="00384B32" w:rsidRDefault="00384B32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Upravne i administrativne pristojbe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651) ostvarene su iznosu od 4.339,89 kn i bilježe povećanje od 24,30% u odnosu na 2021.g. Najveće povećanje vidljivo je na Ostalim pristojbama i naknadama (šifra 6514) koje se odnosi na boravišnu pristojbu.</w:t>
      </w:r>
    </w:p>
    <w:p w14:paraId="03F104C7" w14:textId="446C0484" w:rsidR="000245A8" w:rsidRDefault="00FE78CC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Prihodi po posebnim propisima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652) ostvareni su iznosu od </w:t>
      </w:r>
      <w:r w:rsidR="00384B32">
        <w:rPr>
          <w:rFonts w:ascii="Times New Roman" w:hAnsi="Times New Roman" w:cs="Times New Roman"/>
          <w:noProof/>
          <w:sz w:val="24"/>
          <w:szCs w:val="24"/>
        </w:rPr>
        <w:t>405.818,26</w:t>
      </w:r>
      <w:r w:rsidR="002A52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kn te bilježe smanjenje od </w:t>
      </w:r>
      <w:r w:rsidR="002A526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84B32">
        <w:rPr>
          <w:rFonts w:ascii="Times New Roman" w:hAnsi="Times New Roman" w:cs="Times New Roman"/>
          <w:noProof/>
          <w:sz w:val="24"/>
          <w:szCs w:val="24"/>
        </w:rPr>
        <w:t xml:space="preserve">40,70 </w:t>
      </w:r>
      <w:r>
        <w:rPr>
          <w:rFonts w:ascii="Times New Roman" w:hAnsi="Times New Roman" w:cs="Times New Roman"/>
          <w:noProof/>
          <w:sz w:val="24"/>
          <w:szCs w:val="24"/>
        </w:rPr>
        <w:t>% u odnosu na 2021.g.  uslijed manje ostvarenog</w:t>
      </w:r>
      <w:r w:rsidR="002A5262">
        <w:rPr>
          <w:rFonts w:ascii="Times New Roman" w:hAnsi="Times New Roman" w:cs="Times New Roman"/>
          <w:noProof/>
          <w:sz w:val="24"/>
          <w:szCs w:val="24"/>
        </w:rPr>
        <w:t xml:space="preserve"> vodnog doprinosa (šifra 6522) i</w:t>
      </w:r>
      <w:r w:rsidR="00384B3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šumskog doprinosa (šifra 6524) dok je ostvaren prihod od osiguranja (šifra 65</w:t>
      </w:r>
      <w:r w:rsidR="002A5262">
        <w:rPr>
          <w:rFonts w:ascii="Times New Roman" w:hAnsi="Times New Roman" w:cs="Times New Roman"/>
          <w:noProof/>
          <w:sz w:val="24"/>
          <w:szCs w:val="24"/>
        </w:rPr>
        <w:t xml:space="preserve">26) uslijed oštećenja </w:t>
      </w:r>
      <w:r>
        <w:rPr>
          <w:rFonts w:ascii="Times New Roman" w:hAnsi="Times New Roman" w:cs="Times New Roman"/>
          <w:noProof/>
          <w:sz w:val="24"/>
          <w:szCs w:val="24"/>
        </w:rPr>
        <w:t>zgrada</w:t>
      </w:r>
      <w:r w:rsidR="002A5262">
        <w:rPr>
          <w:rFonts w:ascii="Times New Roman" w:hAnsi="Times New Roman" w:cs="Times New Roman"/>
          <w:noProof/>
          <w:sz w:val="24"/>
          <w:szCs w:val="24"/>
        </w:rPr>
        <w:t xml:space="preserve"> u vlasništvu Općine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od tuče koji u odnosu na prethodnu godinu nema ostvarenje.</w:t>
      </w:r>
      <w:r w:rsidR="00384B32">
        <w:rPr>
          <w:rFonts w:ascii="Times New Roman" w:hAnsi="Times New Roman" w:cs="Times New Roman"/>
          <w:noProof/>
          <w:sz w:val="24"/>
          <w:szCs w:val="24"/>
        </w:rPr>
        <w:t xml:space="preserve"> Šumski doprinos ima indeks 47,30% u odnosu na prethodnu godinu.</w:t>
      </w:r>
    </w:p>
    <w:p w14:paraId="2985F87D" w14:textId="5CC58BCD" w:rsidR="00FE78CC" w:rsidRDefault="00394A62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Komunalni doprinosi i naknade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653) ostvareni su iznosu od</w:t>
      </w:r>
      <w:r w:rsidR="008037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84B32">
        <w:rPr>
          <w:rFonts w:ascii="Times New Roman" w:hAnsi="Times New Roman" w:cs="Times New Roman"/>
          <w:noProof/>
          <w:sz w:val="24"/>
          <w:szCs w:val="24"/>
        </w:rPr>
        <w:t>1.043.883,66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kn  te bilježe </w:t>
      </w:r>
      <w:r w:rsidR="00384B32">
        <w:rPr>
          <w:rFonts w:ascii="Times New Roman" w:hAnsi="Times New Roman" w:cs="Times New Roman"/>
          <w:noProof/>
          <w:sz w:val="24"/>
          <w:szCs w:val="24"/>
        </w:rPr>
        <w:t xml:space="preserve">smanjenje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384B32">
        <w:rPr>
          <w:rFonts w:ascii="Times New Roman" w:hAnsi="Times New Roman" w:cs="Times New Roman"/>
          <w:noProof/>
          <w:sz w:val="24"/>
          <w:szCs w:val="24"/>
        </w:rPr>
        <w:t>11,60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%. Najveć</w:t>
      </w:r>
      <w:r w:rsidR="001410B3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84B32">
        <w:rPr>
          <w:rFonts w:ascii="Times New Roman" w:hAnsi="Times New Roman" w:cs="Times New Roman"/>
          <w:noProof/>
          <w:sz w:val="24"/>
          <w:szCs w:val="24"/>
        </w:rPr>
        <w:t xml:space="preserve">smanjenje </w:t>
      </w:r>
      <w:r>
        <w:rPr>
          <w:rFonts w:ascii="Times New Roman" w:hAnsi="Times New Roman" w:cs="Times New Roman"/>
          <w:noProof/>
          <w:sz w:val="24"/>
          <w:szCs w:val="24"/>
        </w:rPr>
        <w:t>prikazano je na Komunaln</w:t>
      </w:r>
      <w:r w:rsidR="001410B3">
        <w:rPr>
          <w:rFonts w:ascii="Times New Roman" w:hAnsi="Times New Roman" w:cs="Times New Roman"/>
          <w:noProof/>
          <w:sz w:val="24"/>
          <w:szCs w:val="24"/>
        </w:rPr>
        <w:t>im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410B3">
        <w:rPr>
          <w:rFonts w:ascii="Times New Roman" w:hAnsi="Times New Roman" w:cs="Times New Roman"/>
          <w:noProof/>
          <w:sz w:val="24"/>
          <w:szCs w:val="24"/>
        </w:rPr>
        <w:t>doprinosima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653</w:t>
      </w:r>
      <w:r w:rsidR="001410B3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="001410B3">
        <w:rPr>
          <w:rFonts w:ascii="Times New Roman" w:hAnsi="Times New Roman" w:cs="Times New Roman"/>
          <w:noProof/>
          <w:sz w:val="24"/>
          <w:szCs w:val="24"/>
        </w:rPr>
        <w:t xml:space="preserve"> uslijed manjeg broja izdanih rješenja, dok je Komunalna naknada (šifra 6532) s indeksom 89,60%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zbog promjene kod obračuna i naplate. Prethodnih godina komunalna naknada se obračunavala i naplaćivala kvartalno, dok je obračun sada na mjesečnoj razini.</w:t>
      </w:r>
    </w:p>
    <w:p w14:paraId="21912552" w14:textId="0E4C7592" w:rsidR="00C32833" w:rsidRDefault="00C32833" w:rsidP="006842B9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Ostali prihodi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683) ostvareni su iznosu od 1.039,48 kn.</w:t>
      </w:r>
    </w:p>
    <w:p w14:paraId="0B4FABCE" w14:textId="77777777" w:rsidR="007372C3" w:rsidRDefault="007372C3" w:rsidP="009922DA">
      <w:pPr>
        <w:spacing w:after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41A45EC3" w14:textId="5242CA14" w:rsidR="00394A62" w:rsidRDefault="00394A62" w:rsidP="00DC7D9D">
      <w:pPr>
        <w:spacing w:after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74F478A" w14:textId="67787703" w:rsidR="0003069B" w:rsidRDefault="0003069B" w:rsidP="00DC7D9D">
      <w:pPr>
        <w:spacing w:after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37A8DED" w14:textId="77777777" w:rsidR="0003069B" w:rsidRDefault="0003069B" w:rsidP="00DC7D9D">
      <w:pPr>
        <w:spacing w:after="1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C45C0B7" w14:textId="6D9A5C39" w:rsidR="00573D18" w:rsidRPr="00394A62" w:rsidRDefault="00573D18" w:rsidP="00DC7D9D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3 </w:t>
      </w:r>
      <w:r w:rsidR="00DC7D9D" w:rsidRPr="00394A62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C7D9D" w:rsidRPr="00394A62">
        <w:rPr>
          <w:rFonts w:ascii="Times New Roman" w:hAnsi="Times New Roman" w:cs="Times New Roman"/>
          <w:b/>
          <w:noProof/>
          <w:sz w:val="24"/>
          <w:szCs w:val="24"/>
        </w:rPr>
        <w:t>Rashodi poslovanja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14:paraId="4881FCD8" w14:textId="10535CB3" w:rsidR="00573D18" w:rsidRPr="00BF57B4" w:rsidRDefault="00573D18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Rashodi poslovanja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BE219E">
        <w:rPr>
          <w:rFonts w:ascii="Times New Roman" w:hAnsi="Times New Roman" w:cs="Times New Roman"/>
          <w:noProof/>
          <w:sz w:val="24"/>
          <w:szCs w:val="24"/>
        </w:rPr>
        <w:t>šifra 3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6842B9" w:rsidRPr="00BF57B4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 su u </w:t>
      </w:r>
      <w:r w:rsidR="000129AF" w:rsidRPr="00BF57B4">
        <w:rPr>
          <w:rFonts w:ascii="Times New Roman" w:hAnsi="Times New Roman" w:cs="Times New Roman"/>
          <w:noProof/>
          <w:sz w:val="24"/>
          <w:szCs w:val="24"/>
        </w:rPr>
        <w:t>iznosu od</w:t>
      </w:r>
      <w:r w:rsidR="00F47BE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84794">
        <w:rPr>
          <w:rFonts w:ascii="Times New Roman" w:hAnsi="Times New Roman" w:cs="Times New Roman"/>
          <w:noProof/>
          <w:sz w:val="24"/>
          <w:szCs w:val="24"/>
        </w:rPr>
        <w:t>5.374.873,06</w:t>
      </w:r>
      <w:r w:rsidR="008239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47BE0">
        <w:rPr>
          <w:rFonts w:ascii="Times New Roman" w:hAnsi="Times New Roman" w:cs="Times New Roman"/>
          <w:noProof/>
          <w:sz w:val="24"/>
          <w:szCs w:val="24"/>
        </w:rPr>
        <w:t>kn</w:t>
      </w:r>
      <w:r w:rsidRPr="00BF57B4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4AC15BCE" w14:textId="28A33ED6" w:rsidR="00F47BE0" w:rsidRDefault="00573D18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Rashodi za zaposlene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57318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B56EA8">
        <w:rPr>
          <w:rFonts w:ascii="Times New Roman" w:hAnsi="Times New Roman" w:cs="Times New Roman"/>
          <w:noProof/>
          <w:sz w:val="24"/>
          <w:szCs w:val="24"/>
        </w:rPr>
        <w:t>31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771F9A" w:rsidRPr="002128A4">
        <w:rPr>
          <w:rFonts w:ascii="Times New Roman" w:hAnsi="Times New Roman" w:cs="Times New Roman"/>
          <w:noProof/>
          <w:sz w:val="24"/>
          <w:szCs w:val="24"/>
        </w:rPr>
        <w:t>izvršeni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su u iznosu </w:t>
      </w:r>
      <w:r w:rsidR="00C84794">
        <w:rPr>
          <w:rFonts w:ascii="Times New Roman" w:hAnsi="Times New Roman" w:cs="Times New Roman"/>
          <w:noProof/>
          <w:sz w:val="24"/>
          <w:szCs w:val="24"/>
        </w:rPr>
        <w:t xml:space="preserve">797.684,33 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B56EA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veći su za </w:t>
      </w:r>
      <w:r w:rsidR="00C8479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8,30</w:t>
      </w:r>
      <w:r w:rsidR="008239B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56EA8" w:rsidRPr="00BF57B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% u odnosu na</w:t>
      </w:r>
      <w:r w:rsidR="00B56EA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izvršenje </w:t>
      </w:r>
      <w:r w:rsidR="00B56EA8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CD3AA8">
        <w:rPr>
          <w:rFonts w:ascii="Times New Roman" w:hAnsi="Times New Roman" w:cs="Times New Roman"/>
          <w:noProof/>
          <w:sz w:val="24"/>
          <w:szCs w:val="24"/>
        </w:rPr>
        <w:t>.</w:t>
      </w:r>
      <w:r w:rsidR="00B56EA8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Rashodi za zaposlene obuhvaćaju plaće (bruto), doprinose na plaće </w:t>
      </w:r>
      <w:r w:rsidR="00F47BE0">
        <w:rPr>
          <w:rFonts w:ascii="Times New Roman" w:hAnsi="Times New Roman" w:cs="Times New Roman"/>
          <w:noProof/>
          <w:sz w:val="24"/>
          <w:szCs w:val="24"/>
        </w:rPr>
        <w:t xml:space="preserve">i ostale rashode za zaposlene. </w:t>
      </w:r>
      <w:r w:rsidR="00C84794">
        <w:rPr>
          <w:rFonts w:ascii="Times New Roman" w:hAnsi="Times New Roman" w:cs="Times New Roman"/>
          <w:noProof/>
          <w:sz w:val="24"/>
          <w:szCs w:val="24"/>
        </w:rPr>
        <w:t xml:space="preserve">Najveće povećanje vidljivo je na Plaćama za prekovremeni rad (šifra 3113) najviše zbog prisustva </w:t>
      </w:r>
      <w:r w:rsidR="00CA54B2">
        <w:rPr>
          <w:rFonts w:ascii="Times New Roman" w:hAnsi="Times New Roman" w:cs="Times New Roman"/>
          <w:noProof/>
          <w:sz w:val="24"/>
          <w:szCs w:val="24"/>
        </w:rPr>
        <w:t xml:space="preserve">službenika </w:t>
      </w:r>
      <w:r w:rsidR="00C84794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CA54B2">
        <w:rPr>
          <w:rFonts w:ascii="Times New Roman" w:hAnsi="Times New Roman" w:cs="Times New Roman"/>
          <w:noProof/>
          <w:sz w:val="24"/>
          <w:szCs w:val="24"/>
        </w:rPr>
        <w:t xml:space="preserve">održanim </w:t>
      </w:r>
      <w:r w:rsidR="00C84794">
        <w:rPr>
          <w:rFonts w:ascii="Times New Roman" w:hAnsi="Times New Roman" w:cs="Times New Roman"/>
          <w:noProof/>
          <w:sz w:val="24"/>
          <w:szCs w:val="24"/>
        </w:rPr>
        <w:t>sjednica</w:t>
      </w:r>
      <w:r w:rsidR="00CA54B2">
        <w:rPr>
          <w:rFonts w:ascii="Times New Roman" w:hAnsi="Times New Roman" w:cs="Times New Roman"/>
          <w:noProof/>
          <w:sz w:val="24"/>
          <w:szCs w:val="24"/>
        </w:rPr>
        <w:t>ma</w:t>
      </w:r>
      <w:r w:rsidR="00C84794">
        <w:rPr>
          <w:rFonts w:ascii="Times New Roman" w:hAnsi="Times New Roman" w:cs="Times New Roman"/>
          <w:noProof/>
          <w:sz w:val="24"/>
          <w:szCs w:val="24"/>
        </w:rPr>
        <w:t xml:space="preserve"> općinskog vijeća</w:t>
      </w:r>
      <w:r w:rsidR="00CA54B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9AE6419" w14:textId="77777777" w:rsidR="0003069B" w:rsidRDefault="0003069B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190E0EE" w14:textId="77777777" w:rsidR="0003069B" w:rsidRDefault="00771F9A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Materijalni rashodi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E97452">
        <w:rPr>
          <w:rFonts w:ascii="Times New Roman" w:hAnsi="Times New Roman" w:cs="Times New Roman"/>
          <w:noProof/>
          <w:sz w:val="24"/>
          <w:szCs w:val="24"/>
        </w:rPr>
        <w:t xml:space="preserve"> 32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izvršeni su u iznosu od </w:t>
      </w:r>
      <w:r w:rsidR="00CA54B2">
        <w:rPr>
          <w:rFonts w:ascii="Times New Roman" w:hAnsi="Times New Roman" w:cs="Times New Roman"/>
          <w:noProof/>
          <w:sz w:val="24"/>
          <w:szCs w:val="24"/>
        </w:rPr>
        <w:t>2.704.169,61</w:t>
      </w:r>
      <w:r w:rsidR="008239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kn i u odnosu na </w:t>
      </w:r>
      <w:r w:rsidR="00E9745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E97452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6842B9" w:rsidRPr="002128A4">
        <w:rPr>
          <w:rFonts w:ascii="Times New Roman" w:hAnsi="Times New Roman" w:cs="Times New Roman"/>
          <w:noProof/>
          <w:sz w:val="24"/>
          <w:szCs w:val="24"/>
        </w:rPr>
        <w:t xml:space="preserve"> bilježe </w:t>
      </w:r>
      <w:r w:rsidR="00CD3AA8">
        <w:rPr>
          <w:rFonts w:ascii="Times New Roman" w:hAnsi="Times New Roman" w:cs="Times New Roman"/>
          <w:noProof/>
          <w:sz w:val="24"/>
          <w:szCs w:val="24"/>
        </w:rPr>
        <w:t>po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ras</w:t>
      </w:r>
      <w:r w:rsidR="00377612">
        <w:rPr>
          <w:rFonts w:ascii="Times New Roman" w:hAnsi="Times New Roman" w:cs="Times New Roman"/>
          <w:noProof/>
          <w:sz w:val="24"/>
          <w:szCs w:val="24"/>
        </w:rPr>
        <w:t>t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CA54B2">
        <w:rPr>
          <w:rFonts w:ascii="Times New Roman" w:hAnsi="Times New Roman" w:cs="Times New Roman"/>
          <w:noProof/>
          <w:sz w:val="24"/>
          <w:szCs w:val="24"/>
        </w:rPr>
        <w:t>36,80</w:t>
      </w:r>
      <w:r w:rsidR="008239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254D2" w:rsidRPr="002128A4">
        <w:rPr>
          <w:rFonts w:ascii="Times New Roman" w:hAnsi="Times New Roman" w:cs="Times New Roman"/>
          <w:noProof/>
          <w:sz w:val="24"/>
          <w:szCs w:val="24"/>
        </w:rPr>
        <w:t>%.</w:t>
      </w:r>
    </w:p>
    <w:p w14:paraId="0589204E" w14:textId="7CA7B28F" w:rsidR="000254D2" w:rsidRPr="00B7774F" w:rsidRDefault="001854C9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Naknade troškova zaposlenima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 321</w:t>
      </w:r>
      <w:r w:rsidRPr="002128A4">
        <w:rPr>
          <w:rFonts w:ascii="Times New Roman" w:hAnsi="Times New Roman" w:cs="Times New Roman"/>
          <w:noProof/>
          <w:sz w:val="24"/>
          <w:szCs w:val="24"/>
        </w:rPr>
        <w:t xml:space="preserve">) izvršene su u iznosu od </w:t>
      </w:r>
      <w:r w:rsidR="00CA54B2">
        <w:rPr>
          <w:rFonts w:ascii="Times New Roman" w:hAnsi="Times New Roman" w:cs="Times New Roman"/>
          <w:noProof/>
          <w:sz w:val="24"/>
          <w:szCs w:val="24"/>
        </w:rPr>
        <w:t>64</w:t>
      </w:r>
      <w:r w:rsidR="008239BE" w:rsidRPr="008239BE">
        <w:rPr>
          <w:rFonts w:ascii="Times New Roman" w:hAnsi="Times New Roman" w:cs="Times New Roman"/>
          <w:noProof/>
          <w:sz w:val="24"/>
          <w:szCs w:val="24"/>
        </w:rPr>
        <w:t>.</w:t>
      </w:r>
      <w:r w:rsidR="00CA54B2">
        <w:rPr>
          <w:rFonts w:ascii="Times New Roman" w:hAnsi="Times New Roman" w:cs="Times New Roman"/>
          <w:noProof/>
          <w:sz w:val="24"/>
          <w:szCs w:val="24"/>
        </w:rPr>
        <w:t>769,91</w:t>
      </w:r>
      <w:r w:rsidR="008239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128A4">
        <w:rPr>
          <w:rFonts w:ascii="Times New Roman" w:hAnsi="Times New Roman" w:cs="Times New Roman"/>
          <w:noProof/>
          <w:sz w:val="24"/>
          <w:szCs w:val="24"/>
        </w:rPr>
        <w:t>kn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Unutar ove podskupine rashoda </w:t>
      </w:r>
      <w:r w:rsidR="00377612">
        <w:rPr>
          <w:rFonts w:ascii="Times New Roman" w:hAnsi="Times New Roman" w:cs="Times New Roman"/>
          <w:noProof/>
          <w:sz w:val="24"/>
          <w:szCs w:val="24"/>
        </w:rPr>
        <w:t xml:space="preserve">najveće </w:t>
      </w:r>
      <w:r w:rsidR="002128A4" w:rsidRPr="002128A4">
        <w:rPr>
          <w:rFonts w:ascii="Times New Roman" w:hAnsi="Times New Roman" w:cs="Times New Roman"/>
          <w:noProof/>
          <w:sz w:val="24"/>
          <w:szCs w:val="24"/>
        </w:rPr>
        <w:t xml:space="preserve">povećanje odnosi se na </w:t>
      </w:r>
      <w:r w:rsidR="001E4FCE">
        <w:rPr>
          <w:rFonts w:ascii="Times New Roman" w:hAnsi="Times New Roman" w:cs="Times New Roman"/>
          <w:noProof/>
          <w:sz w:val="24"/>
          <w:szCs w:val="24"/>
        </w:rPr>
        <w:t xml:space="preserve">ostale naknade zaposlenima (šifra 3214) </w:t>
      </w:r>
      <w:r w:rsidR="00694DD7">
        <w:rPr>
          <w:rFonts w:ascii="Times New Roman" w:hAnsi="Times New Roman" w:cs="Times New Roman"/>
          <w:noProof/>
          <w:sz w:val="24"/>
          <w:szCs w:val="24"/>
        </w:rPr>
        <w:t xml:space="preserve">zbog promjene naknade za korištenje privatnog vozila u službene svrhe </w:t>
      </w:r>
      <w:r w:rsidR="00694DD7">
        <w:rPr>
          <w:rFonts w:ascii="Times New Roman" w:hAnsi="Times New Roman"/>
          <w:sz w:val="24"/>
          <w:szCs w:val="24"/>
          <w:lang w:val="pl-PL"/>
        </w:rPr>
        <w:t>u iznosu od 2</w:t>
      </w:r>
      <w:r w:rsidR="002128A4" w:rsidRPr="002128A4">
        <w:rPr>
          <w:rFonts w:ascii="Times New Roman" w:hAnsi="Times New Roman"/>
          <w:sz w:val="24"/>
          <w:szCs w:val="24"/>
          <w:lang w:val="pl-PL"/>
        </w:rPr>
        <w:t xml:space="preserve">,00 kn po prijeđenom kilometru umjesto </w:t>
      </w:r>
      <w:r w:rsidR="00694DD7">
        <w:rPr>
          <w:rFonts w:ascii="Times New Roman" w:hAnsi="Times New Roman"/>
          <w:sz w:val="24"/>
          <w:szCs w:val="24"/>
          <w:lang w:val="pl-PL"/>
        </w:rPr>
        <w:t>prethodne</w:t>
      </w:r>
      <w:r w:rsidR="002128A4" w:rsidRPr="002128A4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94DD7">
        <w:rPr>
          <w:rFonts w:ascii="Times New Roman" w:hAnsi="Times New Roman"/>
          <w:sz w:val="24"/>
          <w:szCs w:val="24"/>
          <w:lang w:val="pl-PL"/>
        </w:rPr>
        <w:t xml:space="preserve">1,00 </w:t>
      </w:r>
      <w:r w:rsidR="002128A4" w:rsidRPr="002128A4">
        <w:rPr>
          <w:rFonts w:ascii="Times New Roman" w:hAnsi="Times New Roman"/>
          <w:sz w:val="24"/>
          <w:szCs w:val="24"/>
          <w:lang w:val="pl-PL"/>
        </w:rPr>
        <w:t>kn po prijeđenom kilometru</w:t>
      </w:r>
      <w:r w:rsidR="002128A4">
        <w:rPr>
          <w:rFonts w:ascii="Times New Roman" w:hAnsi="Times New Roman"/>
          <w:sz w:val="24"/>
          <w:szCs w:val="24"/>
          <w:lang w:val="pl-PL"/>
        </w:rPr>
        <w:t>.</w:t>
      </w:r>
    </w:p>
    <w:p w14:paraId="067A1A72" w14:textId="2AC6E379" w:rsidR="005A248B" w:rsidRDefault="007452E3" w:rsidP="00F47BE0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Rashodi za materijal i energiju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 322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Pr="000254D2">
        <w:rPr>
          <w:rFonts w:ascii="Times New Roman" w:hAnsi="Times New Roman" w:cs="Times New Roman"/>
          <w:noProof/>
          <w:sz w:val="24"/>
          <w:szCs w:val="24"/>
        </w:rPr>
        <w:t>izvršeni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 su u iznosu </w:t>
      </w:r>
      <w:r w:rsidR="00852473">
        <w:rPr>
          <w:rFonts w:ascii="Times New Roman" w:hAnsi="Times New Roman" w:cs="Times New Roman"/>
          <w:noProof/>
          <w:sz w:val="24"/>
          <w:szCs w:val="24"/>
        </w:rPr>
        <w:t>417.271,67</w:t>
      </w:r>
      <w:r w:rsidR="008239B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0254D2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i u odnosu na </w:t>
      </w:r>
      <w:r w:rsidR="00B44B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B44B9F">
        <w:rPr>
          <w:rFonts w:ascii="Times New Roman" w:hAnsi="Times New Roman" w:cs="Times New Roman"/>
          <w:noProof/>
          <w:sz w:val="24"/>
          <w:szCs w:val="24"/>
        </w:rPr>
        <w:t>u izvještajnom razdoblju prethodne godine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 bilježe </w:t>
      </w:r>
      <w:r w:rsidR="00CD3AA8">
        <w:rPr>
          <w:rFonts w:ascii="Times New Roman" w:hAnsi="Times New Roman" w:cs="Times New Roman"/>
          <w:noProof/>
          <w:sz w:val="24"/>
          <w:szCs w:val="24"/>
        </w:rPr>
        <w:t>po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>ras</w:t>
      </w:r>
      <w:r w:rsidR="00B44B9F">
        <w:rPr>
          <w:rFonts w:ascii="Times New Roman" w:hAnsi="Times New Roman" w:cs="Times New Roman"/>
          <w:noProof/>
          <w:sz w:val="24"/>
          <w:szCs w:val="24"/>
        </w:rPr>
        <w:t>t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 za </w:t>
      </w:r>
      <w:r w:rsidR="00852473">
        <w:rPr>
          <w:rFonts w:ascii="Times New Roman" w:hAnsi="Times New Roman" w:cs="Times New Roman"/>
          <w:noProof/>
          <w:sz w:val="24"/>
          <w:szCs w:val="24"/>
        </w:rPr>
        <w:t>25,30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%. </w:t>
      </w:r>
      <w:r w:rsidR="00852473">
        <w:rPr>
          <w:rFonts w:ascii="Times New Roman" w:hAnsi="Times New Roman" w:cs="Times New Roman"/>
          <w:noProof/>
          <w:sz w:val="24"/>
          <w:szCs w:val="24"/>
        </w:rPr>
        <w:t>O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dstupanje 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odnosi 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852473" w:rsidRPr="000254D2">
        <w:rPr>
          <w:rFonts w:ascii="Times New Roman" w:hAnsi="Times New Roman" w:cs="Times New Roman"/>
          <w:noProof/>
          <w:sz w:val="24"/>
          <w:szCs w:val="24"/>
        </w:rPr>
        <w:t xml:space="preserve">rashode za energiju 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(šifra 3223) </w:t>
      </w:r>
      <w:r w:rsidR="00852473" w:rsidRPr="000254D2">
        <w:rPr>
          <w:rFonts w:ascii="Times New Roman" w:hAnsi="Times New Roman" w:cs="Times New Roman"/>
          <w:noProof/>
          <w:sz w:val="24"/>
          <w:szCs w:val="24"/>
        </w:rPr>
        <w:t xml:space="preserve">koji su veći za 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29,10  </w:t>
      </w:r>
      <w:r w:rsidR="00852473" w:rsidRPr="000254D2">
        <w:rPr>
          <w:rFonts w:ascii="Times New Roman" w:hAnsi="Times New Roman" w:cs="Times New Roman"/>
          <w:noProof/>
          <w:sz w:val="24"/>
          <w:szCs w:val="24"/>
        </w:rPr>
        <w:t>% u odnosu na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5247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852473">
        <w:rPr>
          <w:rFonts w:ascii="Times New Roman" w:hAnsi="Times New Roman" w:cs="Times New Roman"/>
          <w:noProof/>
          <w:sz w:val="24"/>
          <w:szCs w:val="24"/>
        </w:rPr>
        <w:t xml:space="preserve">u izvještajnom razdoblju prethodne godine zbog povećanja cijena električne energije, </w:t>
      </w:r>
      <w:r w:rsidR="000254D2" w:rsidRPr="000254D2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852473">
        <w:rPr>
          <w:rFonts w:ascii="Times New Roman" w:hAnsi="Times New Roman" w:cs="Times New Roman"/>
          <w:noProof/>
          <w:sz w:val="24"/>
          <w:szCs w:val="24"/>
        </w:rPr>
        <w:t>nabavu materijala za tekuće investicijsko održavanje (šifra 3224) te je nabavljena službena odjeća (šifra 3227) koja u prethodnoj godini nema ostvarenje.</w:t>
      </w:r>
    </w:p>
    <w:p w14:paraId="15554096" w14:textId="2E0AF080" w:rsidR="000D3141" w:rsidRDefault="005B3F9F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Rashodi za usluge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C57318">
        <w:rPr>
          <w:rFonts w:ascii="Times New Roman" w:hAnsi="Times New Roman" w:cs="Times New Roman"/>
          <w:noProof/>
          <w:sz w:val="24"/>
          <w:szCs w:val="24"/>
        </w:rPr>
        <w:t>šifra</w:t>
      </w:r>
      <w:r w:rsidR="00810649">
        <w:rPr>
          <w:rFonts w:ascii="Times New Roman" w:hAnsi="Times New Roman" w:cs="Times New Roman"/>
          <w:noProof/>
          <w:sz w:val="24"/>
          <w:szCs w:val="24"/>
        </w:rPr>
        <w:t xml:space="preserve"> 323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) izvršeni su u iznosu </w:t>
      </w:r>
      <w:r w:rsidR="001D1E8C">
        <w:rPr>
          <w:rFonts w:ascii="Times New Roman" w:hAnsi="Times New Roman" w:cs="Times New Roman"/>
          <w:noProof/>
          <w:sz w:val="24"/>
          <w:szCs w:val="24"/>
        </w:rPr>
        <w:t>1.964.125,14</w:t>
      </w:r>
      <w:r w:rsidR="006A0D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="00B44B9F">
        <w:rPr>
          <w:rFonts w:ascii="Times New Roman" w:hAnsi="Times New Roman" w:cs="Times New Roman"/>
          <w:noProof/>
          <w:sz w:val="24"/>
          <w:szCs w:val="24"/>
        </w:rPr>
        <w:t>i</w:t>
      </w:r>
      <w:r w:rsidRPr="005A248B">
        <w:rPr>
          <w:rFonts w:ascii="Times New Roman" w:hAnsi="Times New Roman" w:cs="Times New Roman"/>
          <w:noProof/>
          <w:sz w:val="24"/>
          <w:szCs w:val="24"/>
        </w:rPr>
        <w:t xml:space="preserve"> u odnosu na </w:t>
      </w:r>
      <w:r w:rsidR="00B44B9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B44B9F">
        <w:rPr>
          <w:rFonts w:ascii="Times New Roman" w:hAnsi="Times New Roman" w:cs="Times New Roman"/>
          <w:noProof/>
          <w:sz w:val="24"/>
          <w:szCs w:val="24"/>
        </w:rPr>
        <w:t>u prethodn</w:t>
      </w:r>
      <w:r w:rsidR="001D1E8C">
        <w:rPr>
          <w:rFonts w:ascii="Times New Roman" w:hAnsi="Times New Roman" w:cs="Times New Roman"/>
          <w:noProof/>
          <w:sz w:val="24"/>
          <w:szCs w:val="24"/>
        </w:rPr>
        <w:t>oj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 godin</w:t>
      </w:r>
      <w:r w:rsidR="001D1E8C">
        <w:rPr>
          <w:rFonts w:ascii="Times New Roman" w:hAnsi="Times New Roman" w:cs="Times New Roman"/>
          <w:noProof/>
          <w:sz w:val="24"/>
          <w:szCs w:val="24"/>
        </w:rPr>
        <w:t>i</w:t>
      </w:r>
      <w:r w:rsidR="00B44B9F" w:rsidRPr="002128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bilježe </w:t>
      </w:r>
      <w:r w:rsidR="00323D5A">
        <w:rPr>
          <w:rFonts w:ascii="Times New Roman" w:hAnsi="Times New Roman" w:cs="Times New Roman"/>
          <w:noProof/>
          <w:sz w:val="24"/>
          <w:szCs w:val="24"/>
        </w:rPr>
        <w:t>po</w:t>
      </w:r>
      <w:r w:rsidR="00B44B9F">
        <w:rPr>
          <w:rFonts w:ascii="Times New Roman" w:hAnsi="Times New Roman" w:cs="Times New Roman"/>
          <w:noProof/>
          <w:sz w:val="24"/>
          <w:szCs w:val="24"/>
        </w:rPr>
        <w:t xml:space="preserve">rast za </w:t>
      </w:r>
      <w:r w:rsidR="001D1E8C">
        <w:rPr>
          <w:rFonts w:ascii="Times New Roman" w:hAnsi="Times New Roman" w:cs="Times New Roman"/>
          <w:noProof/>
          <w:sz w:val="24"/>
          <w:szCs w:val="24"/>
        </w:rPr>
        <w:t>56,40</w:t>
      </w:r>
      <w:r w:rsidR="006A0D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30D5" w:rsidRPr="005A248B">
        <w:rPr>
          <w:rFonts w:ascii="Times New Roman" w:hAnsi="Times New Roman" w:cs="Times New Roman"/>
          <w:noProof/>
          <w:sz w:val="24"/>
          <w:szCs w:val="24"/>
        </w:rPr>
        <w:t>%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. Unu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ta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r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>pod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skupine rashoda za usluge, glavn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 xml:space="preserve">odstupanja odnose </w:t>
      </w:r>
      <w:r w:rsidR="00715D5B" w:rsidRPr="005A248B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07398E" w:rsidRPr="005A248B">
        <w:rPr>
          <w:rFonts w:ascii="Times New Roman" w:hAnsi="Times New Roman" w:cs="Times New Roman"/>
          <w:noProof/>
          <w:sz w:val="24"/>
          <w:szCs w:val="24"/>
        </w:rPr>
        <w:t>na usluge teku</w:t>
      </w:r>
      <w:r w:rsidR="00C57318">
        <w:rPr>
          <w:rFonts w:ascii="Times New Roman" w:hAnsi="Times New Roman" w:cs="Times New Roman"/>
          <w:noProof/>
          <w:sz w:val="24"/>
          <w:szCs w:val="24"/>
        </w:rPr>
        <w:t>ćeg i investicijskog održavanja,</w:t>
      </w:r>
      <w:r w:rsidR="006A0D6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57318">
        <w:rPr>
          <w:rFonts w:ascii="Times New Roman" w:hAnsi="Times New Roman" w:cs="Times New Roman"/>
          <w:noProof/>
          <w:sz w:val="24"/>
          <w:szCs w:val="24"/>
        </w:rPr>
        <w:t xml:space="preserve">zakupnine i najamnine, 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t>zdravstvene i veterinarske usluge</w:t>
      </w:r>
      <w:r w:rsidR="001D1E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57318">
        <w:rPr>
          <w:rFonts w:ascii="Times New Roman" w:hAnsi="Times New Roman" w:cs="Times New Roman"/>
          <w:noProof/>
          <w:sz w:val="24"/>
          <w:szCs w:val="24"/>
        </w:rPr>
        <w:t>te ostale usluge.</w:t>
      </w:r>
      <w:r w:rsidR="005A248B" w:rsidRPr="005A24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101C" w:rsidRPr="0009101C">
        <w:rPr>
          <w:rFonts w:ascii="Times New Roman" w:hAnsi="Times New Roman" w:cs="Times New Roman"/>
          <w:noProof/>
          <w:sz w:val="24"/>
          <w:szCs w:val="24"/>
        </w:rPr>
        <w:t>Usluge tekućeg i investicijskog održavanja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(šifra 3232)</w:t>
      </w:r>
      <w:r w:rsidR="0009101C" w:rsidRPr="0009101C">
        <w:rPr>
          <w:rFonts w:ascii="Times New Roman" w:hAnsi="Times New Roman" w:cs="Times New Roman"/>
          <w:noProof/>
          <w:sz w:val="24"/>
          <w:szCs w:val="24"/>
        </w:rPr>
        <w:t xml:space="preserve"> veće su za </w:t>
      </w:r>
      <w:r w:rsidR="001D1E8C">
        <w:rPr>
          <w:rFonts w:ascii="Times New Roman" w:hAnsi="Times New Roman" w:cs="Times New Roman"/>
          <w:noProof/>
          <w:sz w:val="24"/>
          <w:szCs w:val="24"/>
        </w:rPr>
        <w:t>177,80</w:t>
      </w:r>
      <w:r w:rsidR="007103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9101C" w:rsidRPr="0009101C">
        <w:rPr>
          <w:rFonts w:ascii="Times New Roman" w:hAnsi="Times New Roman" w:cs="Times New Roman"/>
          <w:noProof/>
          <w:sz w:val="24"/>
          <w:szCs w:val="24"/>
        </w:rPr>
        <w:t>% u odnosu na izvršenje</w:t>
      </w:r>
      <w:r w:rsidR="001D1E8C">
        <w:rPr>
          <w:rFonts w:ascii="Times New Roman" w:hAnsi="Times New Roman" w:cs="Times New Roman"/>
          <w:noProof/>
          <w:sz w:val="24"/>
          <w:szCs w:val="24"/>
        </w:rPr>
        <w:t xml:space="preserve"> prethodne godine </w:t>
      </w:r>
      <w:r w:rsidR="0071038B">
        <w:rPr>
          <w:rFonts w:ascii="Times New Roman" w:hAnsi="Times New Roman" w:cs="Times New Roman"/>
          <w:noProof/>
          <w:sz w:val="24"/>
          <w:szCs w:val="24"/>
        </w:rPr>
        <w:t xml:space="preserve">najviše zbog pojačanog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održavanja </w:t>
      </w:r>
      <w:r w:rsidR="0071038B">
        <w:rPr>
          <w:rFonts w:ascii="Times New Roman" w:hAnsi="Times New Roman" w:cs="Times New Roman"/>
          <w:noProof/>
          <w:sz w:val="24"/>
          <w:szCs w:val="24"/>
        </w:rPr>
        <w:t>komunalne infrastrukture</w:t>
      </w:r>
      <w:r w:rsidR="001D1E8C">
        <w:rPr>
          <w:rFonts w:ascii="Times New Roman" w:hAnsi="Times New Roman" w:cs="Times New Roman"/>
          <w:noProof/>
          <w:sz w:val="24"/>
          <w:szCs w:val="24"/>
        </w:rPr>
        <w:t xml:space="preserve"> te popravaka zgrada uslijed elemetarne nepogode.</w:t>
      </w:r>
      <w:r w:rsidR="007103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3B0D">
        <w:rPr>
          <w:rFonts w:ascii="Times New Roman" w:hAnsi="Times New Roman" w:cs="Times New Roman"/>
          <w:noProof/>
          <w:sz w:val="24"/>
          <w:szCs w:val="24"/>
        </w:rPr>
        <w:t>Zakupnine i najamnine (šifra 3235)</w:t>
      </w:r>
      <w:r w:rsidR="001D1E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3B0D">
        <w:rPr>
          <w:rFonts w:ascii="Times New Roman" w:hAnsi="Times New Roman" w:cs="Times New Roman"/>
          <w:noProof/>
          <w:sz w:val="24"/>
          <w:szCs w:val="24"/>
        </w:rPr>
        <w:t>povećane</w:t>
      </w:r>
      <w:r w:rsidR="00ED52E1">
        <w:rPr>
          <w:rFonts w:ascii="Times New Roman" w:hAnsi="Times New Roman" w:cs="Times New Roman"/>
          <w:noProof/>
          <w:sz w:val="24"/>
          <w:szCs w:val="24"/>
        </w:rPr>
        <w:t xml:space="preserve"> su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u odnosu na prethodn</w:t>
      </w:r>
      <w:r w:rsidR="001D1E8C">
        <w:rPr>
          <w:rFonts w:ascii="Times New Roman" w:hAnsi="Times New Roman" w:cs="Times New Roman"/>
          <w:noProof/>
          <w:sz w:val="24"/>
          <w:szCs w:val="24"/>
        </w:rPr>
        <w:t>u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1E8C">
        <w:rPr>
          <w:rFonts w:ascii="Times New Roman" w:hAnsi="Times New Roman" w:cs="Times New Roman"/>
          <w:noProof/>
          <w:sz w:val="24"/>
          <w:szCs w:val="24"/>
        </w:rPr>
        <w:t>godinu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zbog najma opreme za Dane Draganića koji u 2021.g. nisu održani</w:t>
      </w:r>
      <w:r w:rsidR="00713B0D" w:rsidRPr="00180B20">
        <w:rPr>
          <w:rFonts w:ascii="Times New Roman" w:hAnsi="Times New Roman" w:cs="Times New Roman"/>
          <w:noProof/>
          <w:sz w:val="24"/>
          <w:szCs w:val="24"/>
        </w:rPr>
        <w:t>.</w:t>
      </w:r>
      <w:r w:rsidR="00352236" w:rsidRPr="00180B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D3141" w:rsidRPr="00180B20">
        <w:rPr>
          <w:rFonts w:ascii="Times New Roman" w:hAnsi="Times New Roman" w:cs="Times New Roman"/>
          <w:noProof/>
          <w:sz w:val="24"/>
          <w:szCs w:val="24"/>
        </w:rPr>
        <w:t>Zdravstvene i veterinarske usluge</w:t>
      </w:r>
      <w:r w:rsidR="00713B0D" w:rsidRPr="00180B20">
        <w:rPr>
          <w:rFonts w:ascii="Times New Roman" w:hAnsi="Times New Roman" w:cs="Times New Roman"/>
          <w:noProof/>
          <w:sz w:val="24"/>
          <w:szCs w:val="24"/>
        </w:rPr>
        <w:t xml:space="preserve"> (šifra 3236)</w:t>
      </w:r>
      <w:r w:rsidR="001D1E8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3B0D" w:rsidRPr="00180B20">
        <w:rPr>
          <w:rFonts w:ascii="Times New Roman" w:hAnsi="Times New Roman" w:cs="Times New Roman"/>
          <w:noProof/>
          <w:sz w:val="24"/>
          <w:szCs w:val="24"/>
        </w:rPr>
        <w:t>bilježe povećanje uslijed većeg broja zbrinjavanja p</w:t>
      </w:r>
      <w:r w:rsidR="00ED52E1">
        <w:rPr>
          <w:rFonts w:ascii="Times New Roman" w:hAnsi="Times New Roman" w:cs="Times New Roman"/>
          <w:noProof/>
          <w:sz w:val="24"/>
          <w:szCs w:val="24"/>
        </w:rPr>
        <w:t>a</w:t>
      </w:r>
      <w:r w:rsidR="00713B0D" w:rsidRPr="00180B20">
        <w:rPr>
          <w:rFonts w:ascii="Times New Roman" w:hAnsi="Times New Roman" w:cs="Times New Roman"/>
          <w:noProof/>
          <w:sz w:val="24"/>
          <w:szCs w:val="24"/>
        </w:rPr>
        <w:t xml:space="preserve">sa lutalica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te obveznog testiranja službenika. Ostale usluge (šifra 3239) </w:t>
      </w:r>
      <w:r w:rsidR="00514FF4">
        <w:rPr>
          <w:rFonts w:ascii="Times New Roman" w:hAnsi="Times New Roman" w:cs="Times New Roman"/>
          <w:noProof/>
          <w:sz w:val="24"/>
          <w:szCs w:val="24"/>
        </w:rPr>
        <w:t>najvećim dijelom odnose se na usluge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14FF4">
        <w:rPr>
          <w:rFonts w:ascii="Times New Roman" w:hAnsi="Times New Roman" w:cs="Times New Roman"/>
          <w:noProof/>
          <w:sz w:val="24"/>
          <w:szCs w:val="24"/>
        </w:rPr>
        <w:t>za Dane Draganića</w:t>
      </w:r>
      <w:r w:rsidR="00E802C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14FF4">
        <w:rPr>
          <w:rFonts w:ascii="Times New Roman" w:hAnsi="Times New Roman" w:cs="Times New Roman"/>
          <w:noProof/>
          <w:sz w:val="24"/>
          <w:szCs w:val="24"/>
        </w:rPr>
        <w:t>na obračun i naplatu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 komunalne naknade </w:t>
      </w:r>
      <w:r w:rsidR="00514FF4">
        <w:rPr>
          <w:rFonts w:ascii="Times New Roman" w:hAnsi="Times New Roman" w:cs="Times New Roman"/>
          <w:noProof/>
          <w:sz w:val="24"/>
          <w:szCs w:val="24"/>
        </w:rPr>
        <w:t xml:space="preserve">od strane </w:t>
      </w:r>
      <w:r w:rsidR="00713B0D">
        <w:rPr>
          <w:rFonts w:ascii="Times New Roman" w:hAnsi="Times New Roman" w:cs="Times New Roman"/>
          <w:noProof/>
          <w:sz w:val="24"/>
          <w:szCs w:val="24"/>
        </w:rPr>
        <w:t xml:space="preserve">Inkasator d.o.o. </w:t>
      </w:r>
      <w:r w:rsidR="00E802C4">
        <w:rPr>
          <w:rFonts w:ascii="Times New Roman" w:hAnsi="Times New Roman" w:cs="Times New Roman"/>
          <w:noProof/>
          <w:sz w:val="24"/>
          <w:szCs w:val="24"/>
        </w:rPr>
        <w:t>te na mjesečni paušal Skloništu</w:t>
      </w:r>
      <w:r w:rsidR="00ED52E1">
        <w:rPr>
          <w:rFonts w:ascii="Times New Roman" w:hAnsi="Times New Roman" w:cs="Times New Roman"/>
          <w:noProof/>
          <w:sz w:val="24"/>
          <w:szCs w:val="24"/>
        </w:rPr>
        <w:t xml:space="preserve"> za nezbrinute životinje</w:t>
      </w:r>
      <w:r w:rsidR="00C0227B">
        <w:rPr>
          <w:rFonts w:ascii="Times New Roman" w:hAnsi="Times New Roman" w:cs="Times New Roman"/>
          <w:noProof/>
          <w:sz w:val="24"/>
          <w:szCs w:val="24"/>
        </w:rPr>
        <w:t xml:space="preserve"> koji je prethodne godine evidentiran na subvencijama.</w:t>
      </w:r>
    </w:p>
    <w:p w14:paraId="7FEB5DB6" w14:textId="55D1C705" w:rsidR="00733A8A" w:rsidRDefault="00BF5D4E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Ostali nespomenuti rashodi poslovanja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13B0D">
        <w:rPr>
          <w:rFonts w:ascii="Times New Roman" w:hAnsi="Times New Roman" w:cs="Times New Roman"/>
          <w:noProof/>
          <w:sz w:val="24"/>
          <w:szCs w:val="24"/>
        </w:rPr>
        <w:t>(šifra 329) i</w:t>
      </w:r>
      <w:r w:rsidRPr="00105760">
        <w:rPr>
          <w:rFonts w:ascii="Times New Roman" w:hAnsi="Times New Roman" w:cs="Times New Roman"/>
          <w:noProof/>
          <w:sz w:val="24"/>
          <w:szCs w:val="24"/>
        </w:rPr>
        <w:t xml:space="preserve">zvršeni su u iznosu od </w:t>
      </w:r>
      <w:r w:rsidR="00E802C4">
        <w:rPr>
          <w:rFonts w:ascii="Times New Roman" w:hAnsi="Times New Roman" w:cs="Times New Roman"/>
          <w:noProof/>
          <w:sz w:val="24"/>
          <w:szCs w:val="24"/>
        </w:rPr>
        <w:t>258.002,89</w:t>
      </w:r>
      <w:r w:rsidR="00123D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05760">
        <w:rPr>
          <w:rFonts w:ascii="Times New Roman" w:hAnsi="Times New Roman" w:cs="Times New Roman"/>
          <w:noProof/>
          <w:sz w:val="24"/>
          <w:szCs w:val="24"/>
        </w:rPr>
        <w:t>kn</w:t>
      </w:r>
      <w:r w:rsidR="00810649">
        <w:rPr>
          <w:rFonts w:ascii="Times New Roman" w:hAnsi="Times New Roman" w:cs="Times New Roman"/>
          <w:noProof/>
          <w:sz w:val="24"/>
          <w:szCs w:val="24"/>
        </w:rPr>
        <w:t xml:space="preserve"> i manji su za </w:t>
      </w:r>
      <w:r w:rsidR="00E802C4">
        <w:rPr>
          <w:rFonts w:ascii="Times New Roman" w:hAnsi="Times New Roman" w:cs="Times New Roman"/>
          <w:noProof/>
          <w:sz w:val="24"/>
          <w:szCs w:val="24"/>
        </w:rPr>
        <w:t>23,70</w:t>
      </w:r>
      <w:r w:rsidR="00123D8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0649">
        <w:rPr>
          <w:rFonts w:ascii="Times New Roman" w:hAnsi="Times New Roman" w:cs="Times New Roman"/>
          <w:noProof/>
          <w:sz w:val="24"/>
          <w:szCs w:val="24"/>
        </w:rPr>
        <w:t>% u odnosu na</w:t>
      </w:r>
      <w:r w:rsidR="00810649" w:rsidRPr="005A24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10649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F53740">
        <w:rPr>
          <w:rFonts w:ascii="Times New Roman" w:hAnsi="Times New Roman" w:cs="Times New Roman"/>
          <w:noProof/>
          <w:sz w:val="24"/>
          <w:szCs w:val="24"/>
        </w:rPr>
        <w:t>prethodne godine. Najveće smanjenje vidljivo je na Naknadama</w:t>
      </w:r>
      <w:r w:rsidR="00F53740" w:rsidRPr="00F53740">
        <w:rPr>
          <w:rFonts w:ascii="Times New Roman" w:hAnsi="Times New Roman" w:cs="Times New Roman"/>
          <w:noProof/>
          <w:sz w:val="24"/>
          <w:szCs w:val="24"/>
        </w:rPr>
        <w:t xml:space="preserve"> za rad predstavničkih i izvršnih tijela, povjerenstava i slično</w:t>
      </w:r>
      <w:r w:rsidR="00F53740">
        <w:rPr>
          <w:rFonts w:ascii="Times New Roman" w:hAnsi="Times New Roman" w:cs="Times New Roman"/>
          <w:noProof/>
          <w:sz w:val="24"/>
          <w:szCs w:val="24"/>
        </w:rPr>
        <w:t xml:space="preserve"> (šifra 3291) jer su </w:t>
      </w:r>
      <w:r w:rsidR="001818E0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="00F53740">
        <w:rPr>
          <w:rFonts w:ascii="Times New Roman" w:hAnsi="Times New Roman" w:cs="Times New Roman"/>
          <w:noProof/>
          <w:sz w:val="24"/>
          <w:szCs w:val="24"/>
        </w:rPr>
        <w:t>prošloj godini održani lokalni izbori, dok je najveće povećanje vidljivo na Reprezentaciji (šifra 3293) uslijed odr</w:t>
      </w:r>
      <w:r w:rsidR="00123D80">
        <w:rPr>
          <w:rFonts w:ascii="Times New Roman" w:hAnsi="Times New Roman" w:cs="Times New Roman"/>
          <w:noProof/>
          <w:sz w:val="24"/>
          <w:szCs w:val="24"/>
        </w:rPr>
        <w:t xml:space="preserve">žanog domjenka za Dan općine, </w:t>
      </w:r>
      <w:r w:rsidR="00F53740">
        <w:rPr>
          <w:rFonts w:ascii="Times New Roman" w:hAnsi="Times New Roman" w:cs="Times New Roman"/>
          <w:noProof/>
          <w:sz w:val="24"/>
          <w:szCs w:val="24"/>
        </w:rPr>
        <w:t>Dani Draganića. Navedenih događanja u 2021.g. nije bilo.</w:t>
      </w:r>
      <w:r w:rsidR="00745EB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E33548" w14:textId="027FCD19" w:rsidR="00B7774F" w:rsidRDefault="00B7774F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9C8E0E" w14:textId="73C447C0" w:rsidR="00E802C4" w:rsidRDefault="00B7774F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0227B">
        <w:rPr>
          <w:rFonts w:ascii="Times New Roman" w:hAnsi="Times New Roman" w:cs="Times New Roman"/>
          <w:b/>
          <w:bCs/>
          <w:noProof/>
          <w:sz w:val="24"/>
          <w:szCs w:val="24"/>
        </w:rPr>
        <w:t>Financijski rashodi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34) iznose 16.818,47 kn i odnose se na usluge platnog prometa (šifra 3431) i naplatu 5% prihoda (šifra 3434)</w:t>
      </w:r>
    </w:p>
    <w:p w14:paraId="650CE93E" w14:textId="77777777" w:rsidR="00B7774F" w:rsidRDefault="00B7774F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A8EEFA1" w14:textId="77777777" w:rsidR="00C0227B" w:rsidRPr="008853CD" w:rsidRDefault="00B7774F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53CD">
        <w:rPr>
          <w:rFonts w:ascii="Times New Roman" w:hAnsi="Times New Roman" w:cs="Times New Roman"/>
          <w:b/>
          <w:bCs/>
          <w:noProof/>
          <w:sz w:val="24"/>
          <w:szCs w:val="24"/>
        </w:rPr>
        <w:t>Subvencije</w:t>
      </w:r>
      <w:r w:rsidRPr="008853CD">
        <w:rPr>
          <w:rFonts w:ascii="Times New Roman" w:hAnsi="Times New Roman" w:cs="Times New Roman"/>
          <w:noProof/>
          <w:sz w:val="24"/>
          <w:szCs w:val="24"/>
        </w:rPr>
        <w:t xml:space="preserve"> (šifra 35) iznose 882.809,63 kn i bilježe povećanje od 7,20 % u odnosu na 2021.g.</w:t>
      </w:r>
    </w:p>
    <w:p w14:paraId="0CB5DC19" w14:textId="0A1DA594" w:rsidR="00C0227B" w:rsidRPr="008853CD" w:rsidRDefault="008853CD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53CD">
        <w:rPr>
          <w:rFonts w:ascii="Times New Roman" w:hAnsi="Times New Roman" w:cs="Times New Roman"/>
          <w:noProof/>
          <w:sz w:val="24"/>
          <w:szCs w:val="24"/>
        </w:rPr>
        <w:t xml:space="preserve">U prethodnoj godini, evidentiran je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Pr="008853CD">
        <w:rPr>
          <w:rFonts w:ascii="Times New Roman" w:hAnsi="Times New Roman" w:cs="Times New Roman"/>
          <w:noProof/>
          <w:sz w:val="24"/>
          <w:szCs w:val="24"/>
        </w:rPr>
        <w:t>mjesečni paušal skloništu, dok je u 2022.g. evidentirano subvencioniranje privatnih vrtić</w:t>
      </w: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8853CD">
        <w:rPr>
          <w:rFonts w:ascii="Times New Roman" w:hAnsi="Times New Roman" w:cs="Times New Roman"/>
          <w:noProof/>
          <w:sz w:val="24"/>
          <w:szCs w:val="24"/>
        </w:rPr>
        <w:t xml:space="preserve"> i prijevoz </w:t>
      </w:r>
      <w:r w:rsidR="00742230">
        <w:rPr>
          <w:rFonts w:ascii="Times New Roman" w:hAnsi="Times New Roman" w:cs="Times New Roman"/>
          <w:noProof/>
          <w:sz w:val="24"/>
          <w:szCs w:val="24"/>
        </w:rPr>
        <w:t xml:space="preserve">učenika </w:t>
      </w:r>
      <w:r w:rsidRPr="008853CD">
        <w:rPr>
          <w:rFonts w:ascii="Times New Roman" w:hAnsi="Times New Roman" w:cs="Times New Roman"/>
          <w:noProof/>
          <w:sz w:val="24"/>
          <w:szCs w:val="24"/>
        </w:rPr>
        <w:t>oš</w:t>
      </w:r>
      <w:r>
        <w:rPr>
          <w:rFonts w:ascii="Times New Roman" w:hAnsi="Times New Roman" w:cs="Times New Roman"/>
          <w:noProof/>
          <w:sz w:val="24"/>
          <w:szCs w:val="24"/>
        </w:rPr>
        <w:t>. Povećanje je uslijed većeg broja</w:t>
      </w:r>
      <w:r w:rsidRPr="008853CD">
        <w:rPr>
          <w:rFonts w:ascii="Times New Roman" w:hAnsi="Times New Roman" w:cs="Times New Roman"/>
          <w:noProof/>
          <w:sz w:val="24"/>
          <w:szCs w:val="24"/>
        </w:rPr>
        <w:t xml:space="preserve"> djece (šifra 352</w:t>
      </w:r>
      <w:r w:rsidR="00973598">
        <w:rPr>
          <w:rFonts w:ascii="Times New Roman" w:hAnsi="Times New Roman" w:cs="Times New Roman"/>
          <w:noProof/>
          <w:sz w:val="24"/>
          <w:szCs w:val="24"/>
        </w:rPr>
        <w:t>2</w:t>
      </w:r>
      <w:r w:rsidRPr="008853CD"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>. Subvencije poljoprivrednicima (šifra 3523) izvršene su iznosu 43.619,</w:t>
      </w:r>
      <w:r w:rsidR="00973598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1 kn uslijed većeg broja podnesenih zahtjeva.</w:t>
      </w:r>
    </w:p>
    <w:p w14:paraId="12186792" w14:textId="77777777" w:rsidR="008853CD" w:rsidRDefault="008853CD" w:rsidP="00F47BE0">
      <w:pPr>
        <w:spacing w:after="12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1494307" w14:textId="08F3F55B" w:rsidR="006A5B8D" w:rsidRDefault="006A5B8D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A5B8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Pomoći dane u inozemstvo i unutar općeg proračuna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36) iznose 128.887,79 kn i bilježe povećanje od 181,50%</w:t>
      </w:r>
    </w:p>
    <w:p w14:paraId="1A48C263" w14:textId="2989B083" w:rsidR="00573D18" w:rsidRDefault="00745EB1" w:rsidP="00F47BE0">
      <w:pPr>
        <w:spacing w:after="120"/>
        <w:jc w:val="both"/>
      </w:pPr>
      <w:r w:rsidRPr="006A5B8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Pomoći proračunskim korisnicima drugih proračuna </w:t>
      </w:r>
      <w:r w:rsidRPr="00136C18">
        <w:rPr>
          <w:rFonts w:ascii="Times New Roman" w:hAnsi="Times New Roman" w:cs="Times New Roman"/>
          <w:noProof/>
          <w:sz w:val="24"/>
          <w:szCs w:val="24"/>
        </w:rPr>
        <w:t xml:space="preserve">(šifra 366) iznose </w:t>
      </w:r>
      <w:r w:rsidR="006A5B8D">
        <w:rPr>
          <w:rFonts w:ascii="Times New Roman" w:hAnsi="Times New Roman" w:cs="Times New Roman"/>
          <w:noProof/>
          <w:sz w:val="24"/>
          <w:szCs w:val="24"/>
        </w:rPr>
        <w:t>128.887,79</w:t>
      </w:r>
      <w:r w:rsidR="00733A8A" w:rsidRPr="00136C1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36C18">
        <w:rPr>
          <w:rFonts w:ascii="Times New Roman" w:hAnsi="Times New Roman" w:cs="Times New Roman"/>
          <w:noProof/>
          <w:sz w:val="24"/>
          <w:szCs w:val="24"/>
        </w:rPr>
        <w:t xml:space="preserve">kn te </w:t>
      </w:r>
      <w:r w:rsidR="004F673E" w:rsidRPr="004F673E">
        <w:rPr>
          <w:rFonts w:ascii="Times New Roman" w:hAnsi="Times New Roman" w:cs="Times New Roman"/>
          <w:noProof/>
          <w:sz w:val="24"/>
          <w:szCs w:val="24"/>
        </w:rPr>
        <w:t>najvećim dijelom</w:t>
      </w:r>
      <w:r w:rsidRPr="004F673E">
        <w:rPr>
          <w:rFonts w:ascii="Times New Roman" w:hAnsi="Times New Roman" w:cs="Times New Roman"/>
          <w:noProof/>
          <w:sz w:val="24"/>
          <w:szCs w:val="24"/>
        </w:rPr>
        <w:t xml:space="preserve"> prikazuju</w:t>
      </w:r>
      <w:r w:rsidR="008853CD" w:rsidRPr="008853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853CD" w:rsidRPr="004F673E">
        <w:rPr>
          <w:rFonts w:ascii="Times New Roman" w:hAnsi="Times New Roman" w:cs="Times New Roman"/>
          <w:noProof/>
          <w:sz w:val="24"/>
          <w:szCs w:val="24"/>
        </w:rPr>
        <w:t>financiranje plaće i naknada učiteljici u produženom boravku</w:t>
      </w:r>
      <w:r w:rsidR="008853CD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Pr="004F673E">
        <w:rPr>
          <w:rFonts w:ascii="Times New Roman" w:hAnsi="Times New Roman" w:cs="Times New Roman"/>
          <w:noProof/>
          <w:sz w:val="24"/>
          <w:szCs w:val="24"/>
        </w:rPr>
        <w:t>pomoć osnovnoj školi Draganići</w:t>
      </w:r>
      <w:r w:rsidR="008853C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335BEFA" w14:textId="77777777" w:rsidR="008853CD" w:rsidRDefault="008853CD" w:rsidP="00F47B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BE24D81" w14:textId="70CD9755" w:rsidR="006A5B8D" w:rsidRPr="00AB2A33" w:rsidRDefault="006A5B8D" w:rsidP="00F47BE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2A33">
        <w:rPr>
          <w:rFonts w:ascii="Times New Roman" w:hAnsi="Times New Roman" w:cs="Times New Roman"/>
          <w:b/>
          <w:bCs/>
          <w:sz w:val="24"/>
          <w:szCs w:val="24"/>
        </w:rPr>
        <w:t>Naknade građanima i kućanstv</w:t>
      </w:r>
      <w:r w:rsidR="008853CD" w:rsidRPr="00AB2A33">
        <w:rPr>
          <w:rFonts w:ascii="Times New Roman" w:hAnsi="Times New Roman" w:cs="Times New Roman"/>
          <w:b/>
          <w:bCs/>
          <w:sz w:val="24"/>
          <w:szCs w:val="24"/>
        </w:rPr>
        <w:t xml:space="preserve">ima </w:t>
      </w:r>
      <w:r w:rsidR="00407F70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="008853CD" w:rsidRPr="00AB2A33">
        <w:rPr>
          <w:rFonts w:ascii="Times New Roman" w:hAnsi="Times New Roman" w:cs="Times New Roman"/>
          <w:b/>
          <w:bCs/>
          <w:sz w:val="24"/>
          <w:szCs w:val="24"/>
        </w:rPr>
        <w:t>temelju osiguranja i druge naknade</w:t>
      </w:r>
      <w:r w:rsidR="008853CD" w:rsidRPr="00AB2A33">
        <w:rPr>
          <w:rFonts w:ascii="Times New Roman" w:hAnsi="Times New Roman" w:cs="Times New Roman"/>
          <w:sz w:val="24"/>
          <w:szCs w:val="24"/>
        </w:rPr>
        <w:t xml:space="preserve"> iznose 277.872,99</w:t>
      </w:r>
      <w:r w:rsidR="00407F70">
        <w:rPr>
          <w:rFonts w:ascii="Times New Roman" w:hAnsi="Times New Roman" w:cs="Times New Roman"/>
          <w:sz w:val="24"/>
          <w:szCs w:val="24"/>
        </w:rPr>
        <w:t xml:space="preserve"> kn</w:t>
      </w:r>
      <w:r w:rsidR="008853CD" w:rsidRPr="00AB2A33">
        <w:rPr>
          <w:rFonts w:ascii="Times New Roman" w:hAnsi="Times New Roman" w:cs="Times New Roman"/>
          <w:sz w:val="24"/>
          <w:szCs w:val="24"/>
        </w:rPr>
        <w:t xml:space="preserve"> te bilježe povećanje od 25,40 % u odnosu na 2021.g.</w:t>
      </w:r>
    </w:p>
    <w:p w14:paraId="2ED36673" w14:textId="6AE26B49" w:rsidR="000A558F" w:rsidRPr="00DE525E" w:rsidRDefault="000A558F" w:rsidP="00F47BE0">
      <w:pPr>
        <w:spacing w:after="1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AB2A33">
        <w:rPr>
          <w:rFonts w:ascii="Times New Roman" w:hAnsi="Times New Roman" w:cs="Times New Roman"/>
          <w:b/>
          <w:bCs/>
          <w:sz w:val="24"/>
          <w:szCs w:val="24"/>
        </w:rPr>
        <w:t>Ostale naknade građanima i kućanstvima iz proračuna (šifra 372)</w:t>
      </w:r>
      <w:r w:rsidRPr="00AB2A33">
        <w:rPr>
          <w:rFonts w:ascii="Times New Roman" w:hAnsi="Times New Roman" w:cs="Times New Roman"/>
          <w:sz w:val="24"/>
          <w:szCs w:val="24"/>
        </w:rPr>
        <w:t xml:space="preserve"> </w:t>
      </w:r>
      <w:r w:rsidR="00AB2A33">
        <w:rPr>
          <w:rFonts w:ascii="Times New Roman" w:hAnsi="Times New Roman" w:cs="Times New Roman"/>
          <w:sz w:val="24"/>
          <w:szCs w:val="24"/>
        </w:rPr>
        <w:t>odnose se na naknade građanima i kućanstvu (šifra 3721) koje su izvršene sukladno socijalnom programu i stip</w:t>
      </w:r>
      <w:r w:rsidR="00AB2A33" w:rsidRPr="00AB2A33">
        <w:rPr>
          <w:rFonts w:ascii="Times New Roman" w:hAnsi="Times New Roman" w:cs="Times New Roman"/>
          <w:sz w:val="24"/>
          <w:szCs w:val="24"/>
        </w:rPr>
        <w:t xml:space="preserve">endijama, dok naknade građanima i </w:t>
      </w:r>
      <w:r w:rsidRPr="00AB2A33">
        <w:rPr>
          <w:rFonts w:ascii="Times New Roman" w:hAnsi="Times New Roman" w:cs="Times New Roman"/>
          <w:sz w:val="24"/>
          <w:szCs w:val="24"/>
        </w:rPr>
        <w:t>kućanstvima u naravi</w:t>
      </w:r>
      <w:r w:rsidR="00AB2A33">
        <w:rPr>
          <w:rFonts w:ascii="Times New Roman" w:hAnsi="Times New Roman" w:cs="Times New Roman"/>
          <w:sz w:val="24"/>
          <w:szCs w:val="24"/>
        </w:rPr>
        <w:t xml:space="preserve"> (3722) </w:t>
      </w:r>
      <w:r w:rsidR="00AB2A33" w:rsidRPr="00AB2A33">
        <w:rPr>
          <w:rFonts w:ascii="Times New Roman" w:hAnsi="Times New Roman" w:cs="Times New Roman"/>
          <w:sz w:val="24"/>
          <w:szCs w:val="24"/>
        </w:rPr>
        <w:t xml:space="preserve">najvećim dijelom se odnose na </w:t>
      </w:r>
      <w:r w:rsidR="006E1EE9" w:rsidRPr="00AB2A33">
        <w:rPr>
          <w:rFonts w:ascii="Times New Roman" w:hAnsi="Times New Roman" w:cs="Times New Roman"/>
          <w:sz w:val="24"/>
          <w:szCs w:val="24"/>
        </w:rPr>
        <w:t xml:space="preserve"> </w:t>
      </w:r>
      <w:r w:rsidR="00AB2A33">
        <w:rPr>
          <w:rFonts w:ascii="Times New Roman" w:hAnsi="Times New Roman" w:cs="Times New Roman"/>
          <w:sz w:val="24"/>
          <w:szCs w:val="24"/>
        </w:rPr>
        <w:t xml:space="preserve">predškolski odgoj, </w:t>
      </w:r>
      <w:r w:rsidR="00AB2A33" w:rsidRPr="00AB2A33">
        <w:rPr>
          <w:rFonts w:ascii="Times New Roman" w:hAnsi="Times New Roman" w:cs="Times New Roman"/>
          <w:sz w:val="24"/>
          <w:szCs w:val="24"/>
        </w:rPr>
        <w:t>prijevoz</w:t>
      </w:r>
      <w:r w:rsidR="006E1EE9" w:rsidRPr="00AB2A33">
        <w:rPr>
          <w:rFonts w:ascii="Times New Roman" w:hAnsi="Times New Roman" w:cs="Times New Roman"/>
          <w:sz w:val="24"/>
          <w:szCs w:val="24"/>
        </w:rPr>
        <w:t xml:space="preserve"> za</w:t>
      </w:r>
      <w:r w:rsidR="00407F70">
        <w:rPr>
          <w:rFonts w:ascii="Times New Roman" w:hAnsi="Times New Roman" w:cs="Times New Roman"/>
          <w:sz w:val="24"/>
          <w:szCs w:val="24"/>
        </w:rPr>
        <w:t xml:space="preserve"> učenike</w:t>
      </w:r>
      <w:r w:rsidR="006E1EE9" w:rsidRPr="00AB2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1EE9" w:rsidRPr="00AB2A33">
        <w:rPr>
          <w:rFonts w:ascii="Times New Roman" w:hAnsi="Times New Roman" w:cs="Times New Roman"/>
          <w:sz w:val="24"/>
          <w:szCs w:val="24"/>
        </w:rPr>
        <w:t>sš</w:t>
      </w:r>
      <w:proofErr w:type="spellEnd"/>
      <w:r w:rsidR="006E1EE9" w:rsidRPr="00AB2A33">
        <w:rPr>
          <w:rFonts w:ascii="Times New Roman" w:hAnsi="Times New Roman" w:cs="Times New Roman"/>
          <w:sz w:val="24"/>
          <w:szCs w:val="24"/>
        </w:rPr>
        <w:t xml:space="preserve"> </w:t>
      </w:r>
      <w:r w:rsidR="00AB2A33">
        <w:rPr>
          <w:rFonts w:ascii="Times New Roman" w:hAnsi="Times New Roman" w:cs="Times New Roman"/>
          <w:sz w:val="24"/>
          <w:szCs w:val="24"/>
        </w:rPr>
        <w:t xml:space="preserve">te radne </w:t>
      </w:r>
      <w:r w:rsidR="006E1EE9" w:rsidRPr="00AB2A33">
        <w:rPr>
          <w:rFonts w:ascii="Times New Roman" w:hAnsi="Times New Roman" w:cs="Times New Roman"/>
          <w:sz w:val="24"/>
          <w:szCs w:val="24"/>
        </w:rPr>
        <w:t>bilježnic</w:t>
      </w:r>
      <w:r w:rsidR="00407F70">
        <w:rPr>
          <w:rFonts w:ascii="Times New Roman" w:hAnsi="Times New Roman" w:cs="Times New Roman"/>
          <w:sz w:val="24"/>
          <w:szCs w:val="24"/>
        </w:rPr>
        <w:t>e</w:t>
      </w:r>
      <w:r w:rsidR="006E1EE9" w:rsidRPr="00AB2A3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E1EE9" w:rsidRPr="00AB2A33">
        <w:rPr>
          <w:rFonts w:ascii="Times New Roman" w:hAnsi="Times New Roman" w:cs="Times New Roman"/>
          <w:sz w:val="24"/>
          <w:szCs w:val="24"/>
        </w:rPr>
        <w:t>oš</w:t>
      </w:r>
      <w:proofErr w:type="spellEnd"/>
      <w:r w:rsidR="006E1EE9" w:rsidRPr="00AB2A33">
        <w:rPr>
          <w:rFonts w:ascii="Times New Roman" w:hAnsi="Times New Roman" w:cs="Times New Roman"/>
          <w:sz w:val="24"/>
          <w:szCs w:val="24"/>
        </w:rPr>
        <w:t>.</w:t>
      </w:r>
    </w:p>
    <w:p w14:paraId="742A9953" w14:textId="77777777" w:rsidR="00C3664D" w:rsidRDefault="00C3664D" w:rsidP="00F47BE0">
      <w:pPr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37CFAC0C" w14:textId="676B5E8B" w:rsidR="00745EB1" w:rsidRPr="00AB2A33" w:rsidRDefault="0066256D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B2A33">
        <w:rPr>
          <w:rFonts w:ascii="Times New Roman" w:hAnsi="Times New Roman" w:cs="Times New Roman"/>
          <w:b/>
          <w:noProof/>
          <w:sz w:val="24"/>
          <w:szCs w:val="24"/>
        </w:rPr>
        <w:t>Ostali rashodi (šifra 381)</w:t>
      </w:r>
      <w:r w:rsidRPr="00AB2A33">
        <w:rPr>
          <w:rFonts w:ascii="Times New Roman" w:hAnsi="Times New Roman" w:cs="Times New Roman"/>
          <w:noProof/>
          <w:sz w:val="24"/>
          <w:szCs w:val="24"/>
        </w:rPr>
        <w:t xml:space="preserve"> izvršeni su u iznosu od </w:t>
      </w:r>
      <w:r w:rsidR="00AB2A33">
        <w:rPr>
          <w:rFonts w:ascii="Times New Roman" w:hAnsi="Times New Roman" w:cs="Times New Roman"/>
          <w:noProof/>
          <w:sz w:val="24"/>
          <w:szCs w:val="24"/>
        </w:rPr>
        <w:t>566.630,24 kn. Kapitalne donacije neprofitnim organizacijama (šifra 3821) izvršen</w:t>
      </w:r>
      <w:r w:rsidR="00407F70">
        <w:rPr>
          <w:rFonts w:ascii="Times New Roman" w:hAnsi="Times New Roman" w:cs="Times New Roman"/>
          <w:noProof/>
          <w:sz w:val="24"/>
          <w:szCs w:val="24"/>
        </w:rPr>
        <w:t>e</w:t>
      </w:r>
      <w:r w:rsidR="00AB2A33">
        <w:rPr>
          <w:rFonts w:ascii="Times New Roman" w:hAnsi="Times New Roman" w:cs="Times New Roman"/>
          <w:noProof/>
          <w:sz w:val="24"/>
          <w:szCs w:val="24"/>
        </w:rPr>
        <w:t xml:space="preserve"> su u iznosu 125.701,50 kn </w:t>
      </w:r>
      <w:r w:rsidR="00F860E6">
        <w:rPr>
          <w:rFonts w:ascii="Times New Roman" w:hAnsi="Times New Roman" w:cs="Times New Roman"/>
          <w:noProof/>
          <w:sz w:val="24"/>
          <w:szCs w:val="24"/>
        </w:rPr>
        <w:t>i odnose se na kapitalnu donaciju vjerskoj zajednici i dvd-ima.</w:t>
      </w:r>
    </w:p>
    <w:p w14:paraId="1F394338" w14:textId="77777777" w:rsidR="00745EB1" w:rsidRDefault="00745EB1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E2DD81" w14:textId="77777777" w:rsidR="00745EB1" w:rsidRPr="00745EB1" w:rsidRDefault="00745EB1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56169F" w14:textId="77777777" w:rsidR="00573D18" w:rsidRPr="00394A62" w:rsidRDefault="00573D18" w:rsidP="00F47BE0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 w:rsidR="008D59E4" w:rsidRPr="00394A62">
        <w:rPr>
          <w:rFonts w:ascii="Times New Roman" w:hAnsi="Times New Roman" w:cs="Times New Roman"/>
          <w:b/>
          <w:noProof/>
          <w:sz w:val="24"/>
          <w:szCs w:val="24"/>
        </w:rPr>
        <w:t>4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7E73" w:rsidRPr="00394A62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7E73" w:rsidRPr="00394A62">
        <w:rPr>
          <w:rFonts w:ascii="Times New Roman" w:hAnsi="Times New Roman" w:cs="Times New Roman"/>
          <w:b/>
          <w:noProof/>
          <w:sz w:val="24"/>
          <w:szCs w:val="24"/>
        </w:rPr>
        <w:t>Rashodi za nabavu nefinancijske imovine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25AEB69E" w14:textId="77777777" w:rsidR="00573D18" w:rsidRPr="003C01A7" w:rsidRDefault="00573D18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A091C2" w14:textId="1ECD4A0E" w:rsidR="00573D18" w:rsidRDefault="00573D18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Rashodi za nabavu nefinancijske imovine </w:t>
      </w:r>
      <w:r w:rsidR="00FC4FDA">
        <w:rPr>
          <w:rFonts w:ascii="Times New Roman" w:hAnsi="Times New Roman" w:cs="Times New Roman"/>
          <w:noProof/>
          <w:sz w:val="24"/>
          <w:szCs w:val="24"/>
        </w:rPr>
        <w:t>(</w:t>
      </w:r>
      <w:r w:rsidR="00B32136">
        <w:rPr>
          <w:rFonts w:ascii="Times New Roman" w:hAnsi="Times New Roman" w:cs="Times New Roman"/>
          <w:noProof/>
          <w:sz w:val="24"/>
          <w:szCs w:val="24"/>
        </w:rPr>
        <w:t xml:space="preserve">šifra </w:t>
      </w:r>
      <w:r w:rsidR="007656F1">
        <w:rPr>
          <w:rFonts w:ascii="Times New Roman" w:hAnsi="Times New Roman" w:cs="Times New Roman"/>
          <w:noProof/>
          <w:sz w:val="24"/>
          <w:szCs w:val="24"/>
        </w:rPr>
        <w:t>4</w:t>
      </w:r>
      <w:r w:rsidR="00FC4FDA">
        <w:rPr>
          <w:rFonts w:ascii="Times New Roman" w:hAnsi="Times New Roman" w:cs="Times New Roman"/>
          <w:noProof/>
          <w:sz w:val="24"/>
          <w:szCs w:val="24"/>
        </w:rPr>
        <w:t>)</w:t>
      </w:r>
      <w:r w:rsidR="00323D5A">
        <w:rPr>
          <w:rFonts w:ascii="Times New Roman" w:hAnsi="Times New Roman" w:cs="Times New Roman"/>
          <w:noProof/>
          <w:sz w:val="24"/>
          <w:szCs w:val="24"/>
        </w:rPr>
        <w:t xml:space="preserve"> -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 izvršeni su u iznosu </w:t>
      </w:r>
      <w:r w:rsidR="009B0816">
        <w:rPr>
          <w:rFonts w:ascii="Times New Roman" w:hAnsi="Times New Roman" w:cs="Times New Roman"/>
          <w:noProof/>
          <w:sz w:val="24"/>
          <w:szCs w:val="24"/>
        </w:rPr>
        <w:t xml:space="preserve">2.721.896,73 kn </w:t>
      </w:r>
      <w:r w:rsidRPr="003C01A7">
        <w:rPr>
          <w:rFonts w:ascii="Times New Roman" w:hAnsi="Times New Roman" w:cs="Times New Roman"/>
          <w:noProof/>
          <w:sz w:val="24"/>
          <w:szCs w:val="24"/>
        </w:rPr>
        <w:t xml:space="preserve">i </w:t>
      </w:r>
      <w:r w:rsidR="00FC4FDA" w:rsidRPr="003C01A7">
        <w:rPr>
          <w:rFonts w:ascii="Times New Roman" w:hAnsi="Times New Roman" w:cs="Times New Roman"/>
          <w:noProof/>
          <w:sz w:val="24"/>
          <w:szCs w:val="24"/>
        </w:rPr>
        <w:t xml:space="preserve">u odnosu </w:t>
      </w:r>
      <w:r w:rsidR="007656F1">
        <w:rPr>
          <w:rFonts w:ascii="Times New Roman" w:hAnsi="Times New Roman" w:cs="Times New Roman"/>
          <w:noProof/>
          <w:sz w:val="24"/>
          <w:szCs w:val="24"/>
        </w:rPr>
        <w:t xml:space="preserve">na </w:t>
      </w:r>
      <w:r w:rsidR="00FC4FD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</w:t>
      </w:r>
      <w:r w:rsidR="00FC4FDA">
        <w:rPr>
          <w:rFonts w:ascii="Times New Roman" w:hAnsi="Times New Roman" w:cs="Times New Roman"/>
          <w:noProof/>
          <w:sz w:val="24"/>
          <w:szCs w:val="24"/>
        </w:rPr>
        <w:t>prethodne godine</w:t>
      </w:r>
      <w:r w:rsidR="00FC4FDA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B0816">
        <w:rPr>
          <w:rFonts w:ascii="Times New Roman" w:hAnsi="Times New Roman" w:cs="Times New Roman"/>
          <w:noProof/>
          <w:sz w:val="24"/>
          <w:szCs w:val="24"/>
        </w:rPr>
        <w:t xml:space="preserve">veći </w:t>
      </w:r>
      <w:r w:rsidR="00C91F33" w:rsidRPr="003C01A7">
        <w:rPr>
          <w:rFonts w:ascii="Times New Roman" w:hAnsi="Times New Roman" w:cs="Times New Roman"/>
          <w:noProof/>
          <w:sz w:val="24"/>
          <w:szCs w:val="24"/>
        </w:rPr>
        <w:t>su</w:t>
      </w:r>
      <w:r w:rsidR="003A571B" w:rsidRPr="003C01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za </w:t>
      </w:r>
      <w:r w:rsidR="009B0816">
        <w:rPr>
          <w:rFonts w:ascii="Times New Roman" w:hAnsi="Times New Roman" w:cs="Times New Roman"/>
          <w:noProof/>
          <w:sz w:val="24"/>
          <w:szCs w:val="24"/>
        </w:rPr>
        <w:t>21,60</w:t>
      </w:r>
      <w:r w:rsidR="00B32136">
        <w:rPr>
          <w:rFonts w:ascii="Times New Roman" w:hAnsi="Times New Roman" w:cs="Times New Roman"/>
          <w:noProof/>
          <w:sz w:val="24"/>
          <w:szCs w:val="24"/>
        </w:rPr>
        <w:t xml:space="preserve"> %.</w:t>
      </w:r>
    </w:p>
    <w:p w14:paraId="449ECB2F" w14:textId="26E92B8B" w:rsidR="009B0816" w:rsidRDefault="009B0816" w:rsidP="00F47BE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Unutar podskupine 411 Materijalna imovina izvršeni su rashodi u iznosu od 100.004,18 kn i odnose se na kupnju zemljišta za izgradnju ŠRC.</w:t>
      </w:r>
    </w:p>
    <w:p w14:paraId="780C4BEA" w14:textId="0DD57D06" w:rsidR="00B32136" w:rsidRPr="00B32136" w:rsidRDefault="00B32136" w:rsidP="00B32136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Unutar podskupine 41</w:t>
      </w:r>
      <w:r w:rsidRPr="00B32136">
        <w:rPr>
          <w:rFonts w:ascii="Times New Roman" w:hAnsi="Times New Roman" w:cs="Times New Roman"/>
          <w:noProof/>
          <w:sz w:val="24"/>
          <w:szCs w:val="24"/>
        </w:rPr>
        <w:t xml:space="preserve">2 </w:t>
      </w:r>
      <w:r w:rsidR="00621E30">
        <w:rPr>
          <w:rFonts w:ascii="Times New Roman" w:hAnsi="Times New Roman" w:cs="Times New Roman"/>
          <w:noProof/>
          <w:sz w:val="24"/>
          <w:szCs w:val="24"/>
        </w:rPr>
        <w:t>Nematerijalna imovina</w:t>
      </w:r>
      <w:r w:rsidRPr="00B32136">
        <w:rPr>
          <w:rFonts w:ascii="Times New Roman" w:hAnsi="Times New Roman" w:cs="Times New Roman"/>
          <w:noProof/>
          <w:sz w:val="24"/>
          <w:szCs w:val="24"/>
        </w:rPr>
        <w:t xml:space="preserve">, izvršeni rashodi u iznosu od </w:t>
      </w:r>
      <w:r w:rsidR="009B0816">
        <w:rPr>
          <w:rFonts w:ascii="Times New Roman" w:hAnsi="Times New Roman" w:cs="Times New Roman"/>
          <w:noProof/>
          <w:sz w:val="24"/>
          <w:szCs w:val="24"/>
        </w:rPr>
        <w:t>284.046,53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2136">
        <w:rPr>
          <w:rFonts w:ascii="Times New Roman" w:hAnsi="Times New Roman" w:cs="Times New Roman"/>
          <w:noProof/>
          <w:sz w:val="24"/>
          <w:szCs w:val="24"/>
        </w:rPr>
        <w:t xml:space="preserve">kn uključuju </w:t>
      </w:r>
      <w:r>
        <w:rPr>
          <w:rFonts w:ascii="Times New Roman" w:hAnsi="Times New Roman" w:cs="Times New Roman"/>
          <w:noProof/>
          <w:sz w:val="24"/>
          <w:szCs w:val="24"/>
        </w:rPr>
        <w:t>izradu projektne dokumentacije za nogostup (šifra 4124) i katastarsku izmjeru-reambulaciju (šifra 4126)</w:t>
      </w:r>
      <w:r w:rsidR="00835E0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048875" w14:textId="0103D61E" w:rsidR="003A571B" w:rsidRPr="00100788" w:rsidRDefault="00B32136" w:rsidP="003E69B5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Unutar </w:t>
      </w:r>
      <w:r w:rsidR="00A501BC">
        <w:rPr>
          <w:rFonts w:ascii="Times New Roman" w:hAnsi="Times New Roman" w:cs="Times New Roman"/>
          <w:noProof/>
          <w:sz w:val="24"/>
          <w:szCs w:val="24"/>
        </w:rPr>
        <w:t>pod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skupine </w:t>
      </w:r>
      <w:r w:rsidR="00A501BC">
        <w:rPr>
          <w:rFonts w:ascii="Times New Roman" w:hAnsi="Times New Roman" w:cs="Times New Roman"/>
          <w:noProof/>
          <w:sz w:val="24"/>
          <w:szCs w:val="24"/>
        </w:rPr>
        <w:t xml:space="preserve">Građevinski objekti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42</w:t>
      </w:r>
      <w:r w:rsidR="00A501BC">
        <w:rPr>
          <w:rFonts w:ascii="Times New Roman" w:hAnsi="Times New Roman" w:cs="Times New Roman"/>
          <w:noProof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izvršeni </w:t>
      </w:r>
      <w:r w:rsidR="00835E0E">
        <w:rPr>
          <w:rFonts w:ascii="Times New Roman" w:hAnsi="Times New Roman" w:cs="Times New Roman"/>
          <w:noProof/>
          <w:sz w:val="24"/>
          <w:szCs w:val="24"/>
        </w:rPr>
        <w:t>su</w:t>
      </w:r>
      <w:r w:rsidR="00A501B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>rashodi u iznosu od</w:t>
      </w:r>
      <w:r w:rsidRPr="00B32136">
        <w:t xml:space="preserve"> </w:t>
      </w:r>
      <w:r w:rsidR="00100788">
        <w:rPr>
          <w:rFonts w:ascii="Times New Roman" w:hAnsi="Times New Roman" w:cs="Times New Roman"/>
          <w:noProof/>
          <w:sz w:val="24"/>
          <w:szCs w:val="24"/>
        </w:rPr>
        <w:t>1.546.189,84 kn</w:t>
      </w:r>
      <w:r w:rsidR="00BE107E" w:rsidRPr="003C01A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A501BC">
        <w:rPr>
          <w:rFonts w:ascii="Times New Roman" w:hAnsi="Times New Roman" w:cs="Times New Roman"/>
          <w:noProof/>
          <w:sz w:val="24"/>
          <w:szCs w:val="24"/>
        </w:rPr>
        <w:t xml:space="preserve">uključuju </w:t>
      </w:r>
      <w:r w:rsidR="00E11FC0">
        <w:rPr>
          <w:rFonts w:ascii="Times New Roman" w:hAnsi="Times New Roman" w:cs="Times New Roman"/>
          <w:noProof/>
          <w:sz w:val="24"/>
          <w:szCs w:val="24"/>
        </w:rPr>
        <w:t xml:space="preserve">projektnu dokumentaciju za </w:t>
      </w:r>
      <w:r w:rsidR="00100788">
        <w:rPr>
          <w:rFonts w:ascii="Times New Roman" w:hAnsi="Times New Roman" w:cs="Times New Roman"/>
          <w:noProof/>
          <w:sz w:val="24"/>
          <w:szCs w:val="24"/>
        </w:rPr>
        <w:t xml:space="preserve">igrališta (šifra 4212) , asfaltiranje </w:t>
      </w:r>
      <w:r w:rsidR="00E11FC0">
        <w:rPr>
          <w:rFonts w:ascii="Times New Roman" w:hAnsi="Times New Roman" w:cs="Times New Roman"/>
          <w:noProof/>
          <w:sz w:val="24"/>
          <w:szCs w:val="24"/>
        </w:rPr>
        <w:t>cest</w:t>
      </w:r>
      <w:r w:rsidR="00100788">
        <w:rPr>
          <w:rFonts w:ascii="Times New Roman" w:hAnsi="Times New Roman" w:cs="Times New Roman"/>
          <w:noProof/>
          <w:sz w:val="24"/>
          <w:szCs w:val="24"/>
        </w:rPr>
        <w:t>a</w:t>
      </w:r>
      <w:r w:rsidR="00E11FC0">
        <w:rPr>
          <w:rFonts w:ascii="Times New Roman" w:hAnsi="Times New Roman" w:cs="Times New Roman"/>
          <w:noProof/>
          <w:sz w:val="24"/>
          <w:szCs w:val="24"/>
        </w:rPr>
        <w:t xml:space="preserve"> (šifra 4213) </w:t>
      </w:r>
      <w:r w:rsidR="00E11FC0" w:rsidRPr="00100788">
        <w:rPr>
          <w:rFonts w:ascii="Times New Roman" w:hAnsi="Times New Roman" w:cs="Times New Roman"/>
          <w:noProof/>
          <w:sz w:val="24"/>
          <w:szCs w:val="24"/>
        </w:rPr>
        <w:t>te javnu rasvjetu i led lampe (šifra 4214).</w:t>
      </w:r>
    </w:p>
    <w:p w14:paraId="6207C6CD" w14:textId="14514BCC" w:rsidR="005B3F9F" w:rsidRDefault="00E11FC0" w:rsidP="00E11FC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11FC0">
        <w:rPr>
          <w:rFonts w:ascii="Times New Roman" w:hAnsi="Times New Roman" w:cs="Times New Roman"/>
          <w:noProof/>
          <w:sz w:val="24"/>
          <w:szCs w:val="24"/>
        </w:rPr>
        <w:t>Postrojenja i oprema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422) iznose </w:t>
      </w:r>
      <w:r w:rsidR="00100788">
        <w:rPr>
          <w:rFonts w:ascii="Times New Roman" w:hAnsi="Times New Roman" w:cs="Times New Roman"/>
          <w:noProof/>
          <w:sz w:val="24"/>
          <w:szCs w:val="24"/>
        </w:rPr>
        <w:t>147.231,57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kn i uključuju računalnu opremu (šifra 4221), </w:t>
      </w:r>
      <w:r w:rsidR="00B32136" w:rsidRPr="00E11FC0">
        <w:rPr>
          <w:rFonts w:ascii="Times New Roman" w:hAnsi="Times New Roman" w:cs="Times New Roman"/>
          <w:noProof/>
          <w:sz w:val="24"/>
          <w:szCs w:val="24"/>
        </w:rPr>
        <w:t>komunikacijsku opremu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-mobiteli (šifra 4222), opremu za održavanje i zaštitu – klima uređaji (šifra 4223) te </w:t>
      </w:r>
      <w:r w:rsidR="003E69B5" w:rsidRPr="00E11FC0">
        <w:rPr>
          <w:rFonts w:ascii="Times New Roman" w:hAnsi="Times New Roman" w:cs="Times New Roman"/>
          <w:noProof/>
          <w:sz w:val="24"/>
          <w:szCs w:val="24"/>
        </w:rPr>
        <w:t>oprem</w:t>
      </w:r>
      <w:r w:rsidR="00A8185A" w:rsidRPr="00E11FC0">
        <w:rPr>
          <w:rFonts w:ascii="Times New Roman" w:hAnsi="Times New Roman" w:cs="Times New Roman"/>
          <w:noProof/>
          <w:sz w:val="24"/>
          <w:szCs w:val="24"/>
        </w:rPr>
        <w:t>u</w:t>
      </w:r>
      <w:r w:rsidR="003E69B5" w:rsidRPr="00E11FC0">
        <w:rPr>
          <w:rFonts w:ascii="Times New Roman" w:hAnsi="Times New Roman" w:cs="Times New Roman"/>
          <w:noProof/>
          <w:sz w:val="24"/>
          <w:szCs w:val="24"/>
        </w:rPr>
        <w:t xml:space="preserve"> za ostale namjene</w:t>
      </w: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B32136" w:rsidRPr="00E11FC0">
        <w:rPr>
          <w:rFonts w:ascii="Times New Roman" w:hAnsi="Times New Roman" w:cs="Times New Roman"/>
          <w:noProof/>
          <w:sz w:val="24"/>
          <w:szCs w:val="24"/>
        </w:rPr>
        <w:t xml:space="preserve">cerada za </w:t>
      </w:r>
      <w:r w:rsidR="00835E0E">
        <w:rPr>
          <w:rFonts w:ascii="Times New Roman" w:hAnsi="Times New Roman" w:cs="Times New Roman"/>
          <w:noProof/>
          <w:sz w:val="24"/>
          <w:szCs w:val="24"/>
        </w:rPr>
        <w:t>D</w:t>
      </w:r>
      <w:r w:rsidR="00B32136" w:rsidRPr="00E11FC0">
        <w:rPr>
          <w:rFonts w:ascii="Times New Roman" w:hAnsi="Times New Roman" w:cs="Times New Roman"/>
          <w:noProof/>
          <w:sz w:val="24"/>
          <w:szCs w:val="24"/>
        </w:rPr>
        <w:t xml:space="preserve">ane </w:t>
      </w:r>
      <w:r w:rsidR="00835E0E">
        <w:rPr>
          <w:rFonts w:ascii="Times New Roman" w:hAnsi="Times New Roman" w:cs="Times New Roman"/>
          <w:noProof/>
          <w:sz w:val="24"/>
          <w:szCs w:val="24"/>
        </w:rPr>
        <w:t>D</w:t>
      </w:r>
      <w:r w:rsidR="00B32136" w:rsidRPr="00E11FC0">
        <w:rPr>
          <w:rFonts w:ascii="Times New Roman" w:hAnsi="Times New Roman" w:cs="Times New Roman"/>
          <w:noProof/>
          <w:sz w:val="24"/>
          <w:szCs w:val="24"/>
        </w:rPr>
        <w:t>raganića</w:t>
      </w:r>
      <w:r w:rsidR="00100788">
        <w:rPr>
          <w:rFonts w:ascii="Times New Roman" w:hAnsi="Times New Roman" w:cs="Times New Roman"/>
          <w:noProof/>
          <w:sz w:val="24"/>
          <w:szCs w:val="24"/>
        </w:rPr>
        <w:t>,</w:t>
      </w:r>
      <w:r w:rsidR="00835E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0788">
        <w:rPr>
          <w:rFonts w:ascii="Times New Roman" w:hAnsi="Times New Roman" w:cs="Times New Roman"/>
          <w:noProof/>
          <w:sz w:val="24"/>
          <w:szCs w:val="24"/>
        </w:rPr>
        <w:t>blagdanske dekoracije,</w:t>
      </w:r>
      <w:r w:rsidR="00835E0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0788">
        <w:rPr>
          <w:rFonts w:ascii="Times New Roman" w:hAnsi="Times New Roman" w:cs="Times New Roman"/>
          <w:noProof/>
          <w:sz w:val="24"/>
          <w:szCs w:val="24"/>
        </w:rPr>
        <w:t>obilježja za pješačke staze i info ploču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(šifra 4227)</w:t>
      </w:r>
      <w:r w:rsidR="00835E0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D58889A" w14:textId="2683537C" w:rsidR="00100788" w:rsidRPr="00E11FC0" w:rsidRDefault="00100788" w:rsidP="00E11FC0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Prijevozna sredstva (šifra 423) iznose 3.500,00 kn i odnose se na naslijeđeni automobil po procijenjenoj vrijednosti.</w:t>
      </w:r>
    </w:p>
    <w:p w14:paraId="0C1AD82B" w14:textId="77777777" w:rsidR="0036142E" w:rsidRDefault="009E5CB9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E5CB9">
        <w:rPr>
          <w:rFonts w:ascii="Times New Roman" w:hAnsi="Times New Roman" w:cs="Times New Roman"/>
          <w:noProof/>
          <w:sz w:val="24"/>
          <w:szCs w:val="24"/>
        </w:rPr>
        <w:lastRenderedPageBreak/>
        <w:t>Dodatna ulaganja na građevinskim objektima (šifra 451) iznose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00788">
        <w:rPr>
          <w:rFonts w:ascii="Times New Roman" w:hAnsi="Times New Roman" w:cs="Times New Roman"/>
          <w:noProof/>
          <w:sz w:val="24"/>
          <w:szCs w:val="24"/>
        </w:rPr>
        <w:t>640.924,61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kn i odnose se adaptaciju zgrade NK Draganići</w:t>
      </w:r>
      <w:r w:rsidR="00100788">
        <w:rPr>
          <w:rFonts w:ascii="Times New Roman" w:hAnsi="Times New Roman" w:cs="Times New Roman"/>
          <w:noProof/>
          <w:sz w:val="24"/>
          <w:szCs w:val="24"/>
        </w:rPr>
        <w:t>, promjenu stolarije i obnovu fasade na općinskoj zgradi.</w:t>
      </w:r>
    </w:p>
    <w:p w14:paraId="2149019C" w14:textId="77777777" w:rsidR="00C3664D" w:rsidRDefault="00C3664D" w:rsidP="006164AA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8CF8C46" w14:textId="77777777" w:rsidR="00C3664D" w:rsidRDefault="00C3664D" w:rsidP="006164AA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D4521AA" w14:textId="77777777" w:rsidR="00C3664D" w:rsidRDefault="00C3664D" w:rsidP="006164AA">
      <w:pPr>
        <w:spacing w:after="1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F59C459" w14:textId="5712ECFF" w:rsidR="00573D18" w:rsidRPr="0036142E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Bilješka broj </w:t>
      </w:r>
      <w:r w:rsidR="008D59E4" w:rsidRPr="00394A62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="00267E73" w:rsidRPr="00394A62">
        <w:rPr>
          <w:rFonts w:ascii="Times New Roman" w:hAnsi="Times New Roman" w:cs="Times New Roman"/>
          <w:b/>
          <w:noProof/>
          <w:sz w:val="24"/>
          <w:szCs w:val="24"/>
        </w:rPr>
        <w:t>Rezultat poslovanja</w:t>
      </w:r>
      <w:r w:rsidRPr="00394A6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4C719269" w14:textId="07F54247" w:rsidR="00573D18" w:rsidRPr="00C91F33" w:rsidRDefault="00573D18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U izvještajnom razdoblju ostvaren je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ukupan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>višak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 prihoda i primitaka (</w:t>
      </w:r>
      <w:r w:rsidR="00FC4FDA">
        <w:rPr>
          <w:rFonts w:ascii="Times New Roman" w:hAnsi="Times New Roman" w:cs="Times New Roman"/>
          <w:noProof/>
          <w:sz w:val="24"/>
          <w:szCs w:val="24"/>
        </w:rPr>
        <w:t>šifra X005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u iznosu </w:t>
      </w:r>
      <w:r w:rsidR="0036142E">
        <w:rPr>
          <w:rFonts w:ascii="Times New Roman" w:hAnsi="Times New Roman" w:cs="Times New Roman"/>
          <w:noProof/>
          <w:sz w:val="24"/>
          <w:szCs w:val="24"/>
        </w:rPr>
        <w:t>760.835,29</w:t>
      </w:r>
      <w:r w:rsidR="001911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kn</w:t>
      </w:r>
      <w:r w:rsidR="002977AC" w:rsidRPr="00C91F3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proizašao je iz:</w:t>
      </w:r>
    </w:p>
    <w:p w14:paraId="3C0A956B" w14:textId="51C777F0" w:rsidR="00573D18" w:rsidRPr="00C91F33" w:rsidRDefault="00573D18" w:rsidP="00191156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>viška prihoda od poslovanja (</w:t>
      </w:r>
      <w:r w:rsidR="00FC4FDA">
        <w:rPr>
          <w:rFonts w:ascii="Times New Roman" w:hAnsi="Times New Roman" w:cs="Times New Roman"/>
          <w:noProof/>
          <w:sz w:val="24"/>
          <w:szCs w:val="24"/>
        </w:rPr>
        <w:t>X001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6723BB">
        <w:rPr>
          <w:rFonts w:ascii="Times New Roman" w:hAnsi="Times New Roman" w:cs="Times New Roman"/>
          <w:noProof/>
          <w:sz w:val="24"/>
          <w:szCs w:val="24"/>
        </w:rPr>
        <w:t>3.482.732,02</w:t>
      </w:r>
      <w:r w:rsidR="001911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1F33">
        <w:rPr>
          <w:rFonts w:ascii="Times New Roman" w:hAnsi="Times New Roman" w:cs="Times New Roman"/>
          <w:noProof/>
          <w:sz w:val="24"/>
          <w:szCs w:val="24"/>
        </w:rPr>
        <w:t>kn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7D130A73" w14:textId="3582B5C6" w:rsidR="00573D18" w:rsidRPr="00C91F33" w:rsidRDefault="00573D18" w:rsidP="00191156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1F33">
        <w:rPr>
          <w:rFonts w:ascii="Times New Roman" w:hAnsi="Times New Roman" w:cs="Times New Roman"/>
          <w:noProof/>
          <w:sz w:val="24"/>
          <w:szCs w:val="24"/>
        </w:rPr>
        <w:t>manjka prihoda od nefinancijske imovine (</w:t>
      </w:r>
      <w:r w:rsidR="00FC4FDA">
        <w:rPr>
          <w:rFonts w:ascii="Times New Roman" w:hAnsi="Times New Roman" w:cs="Times New Roman"/>
          <w:noProof/>
          <w:sz w:val="24"/>
          <w:szCs w:val="24"/>
        </w:rPr>
        <w:t>Y002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6723BB">
        <w:rPr>
          <w:rFonts w:ascii="Times New Roman" w:hAnsi="Times New Roman" w:cs="Times New Roman"/>
          <w:noProof/>
          <w:sz w:val="24"/>
          <w:szCs w:val="24"/>
        </w:rPr>
        <w:t>2.721.896,73</w:t>
      </w:r>
      <w:r w:rsidR="001911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91F33">
        <w:rPr>
          <w:rFonts w:ascii="Times New Roman" w:hAnsi="Times New Roman" w:cs="Times New Roman"/>
          <w:noProof/>
          <w:sz w:val="24"/>
          <w:szCs w:val="24"/>
        </w:rPr>
        <w:t xml:space="preserve">kn. </w:t>
      </w:r>
    </w:p>
    <w:p w14:paraId="5E84E326" w14:textId="6359C4EA" w:rsidR="00573D18" w:rsidRPr="00C91F33" w:rsidRDefault="00512594" w:rsidP="006164AA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išak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prihoda 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i primitaka </w:t>
      </w:r>
      <w:r>
        <w:rPr>
          <w:rFonts w:ascii="Times New Roman" w:hAnsi="Times New Roman" w:cs="Times New Roman"/>
          <w:noProof/>
          <w:sz w:val="24"/>
          <w:szCs w:val="24"/>
        </w:rPr>
        <w:t>– pren</w:t>
      </w:r>
      <w:r w:rsidR="007E6353">
        <w:rPr>
          <w:rFonts w:ascii="Times New Roman" w:hAnsi="Times New Roman" w:cs="Times New Roman"/>
          <w:noProof/>
          <w:sz w:val="24"/>
          <w:szCs w:val="24"/>
        </w:rPr>
        <w:t>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seni 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šifra 9221-9222</w:t>
      </w:r>
      <w:r w:rsidR="004543A9"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iskazan je u iznosu od </w:t>
      </w:r>
      <w:r w:rsidR="00C3303F" w:rsidRPr="00C3303F">
        <w:rPr>
          <w:rFonts w:ascii="Times New Roman" w:hAnsi="Times New Roman" w:cs="Times New Roman"/>
          <w:noProof/>
          <w:sz w:val="24"/>
          <w:szCs w:val="24"/>
        </w:rPr>
        <w:t>2</w:t>
      </w:r>
      <w:r w:rsidR="00C3303F">
        <w:rPr>
          <w:rFonts w:ascii="Times New Roman" w:hAnsi="Times New Roman" w:cs="Times New Roman"/>
          <w:noProof/>
          <w:sz w:val="24"/>
          <w:szCs w:val="24"/>
        </w:rPr>
        <w:t>.</w:t>
      </w:r>
      <w:r w:rsidR="00C3303F" w:rsidRPr="00C3303F">
        <w:rPr>
          <w:rFonts w:ascii="Times New Roman" w:hAnsi="Times New Roman" w:cs="Times New Roman"/>
          <w:noProof/>
          <w:sz w:val="24"/>
          <w:szCs w:val="24"/>
        </w:rPr>
        <w:t>785</w:t>
      </w:r>
      <w:r w:rsidR="00C3303F">
        <w:rPr>
          <w:rFonts w:ascii="Times New Roman" w:hAnsi="Times New Roman" w:cs="Times New Roman"/>
          <w:noProof/>
          <w:sz w:val="24"/>
          <w:szCs w:val="24"/>
        </w:rPr>
        <w:t>.</w:t>
      </w:r>
      <w:r w:rsidR="00C3303F" w:rsidRPr="00C3303F">
        <w:rPr>
          <w:rFonts w:ascii="Times New Roman" w:hAnsi="Times New Roman" w:cs="Times New Roman"/>
          <w:noProof/>
          <w:sz w:val="24"/>
          <w:szCs w:val="24"/>
        </w:rPr>
        <w:t>989,01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>k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n.</w:t>
      </w:r>
    </w:p>
    <w:p w14:paraId="328C97C5" w14:textId="276283A7" w:rsidR="00512594" w:rsidRPr="00C3303F" w:rsidRDefault="00512594" w:rsidP="00C3303F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Višak prihoda i primitaka - preneseni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šifra 9221-9222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>uvećava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se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>za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 xml:space="preserve"> ostvareni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E69B5" w:rsidRPr="00C91F33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prihoda i primitaka tekuće godine u iznosu od </w:t>
      </w:r>
      <w:r w:rsidR="006723BB">
        <w:rPr>
          <w:rFonts w:ascii="Times New Roman" w:hAnsi="Times New Roman" w:cs="Times New Roman"/>
          <w:noProof/>
          <w:sz w:val="24"/>
          <w:szCs w:val="24"/>
        </w:rPr>
        <w:t>760.835,29</w:t>
      </w:r>
      <w:r w:rsidR="0019115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>kn (</w:t>
      </w:r>
      <w:r>
        <w:rPr>
          <w:rFonts w:ascii="Times New Roman" w:hAnsi="Times New Roman" w:cs="Times New Roman"/>
          <w:noProof/>
          <w:sz w:val="24"/>
          <w:szCs w:val="24"/>
        </w:rPr>
        <w:t>šifra X</w:t>
      </w:r>
      <w:r w:rsidR="00C3303F">
        <w:rPr>
          <w:rFonts w:ascii="Times New Roman" w:hAnsi="Times New Roman" w:cs="Times New Roman"/>
          <w:noProof/>
          <w:sz w:val="24"/>
          <w:szCs w:val="24"/>
        </w:rPr>
        <w:t>005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), tako 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 xml:space="preserve">višak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prihoda </w:t>
      </w:r>
      <w:r w:rsidR="003A571B" w:rsidRPr="00C91F33">
        <w:rPr>
          <w:rFonts w:ascii="Times New Roman" w:hAnsi="Times New Roman" w:cs="Times New Roman"/>
          <w:noProof/>
          <w:sz w:val="24"/>
          <w:szCs w:val="24"/>
        </w:rPr>
        <w:t>i primitaka raspoloživ u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A1E5E" w:rsidRPr="00C91F33">
        <w:rPr>
          <w:rFonts w:ascii="Times New Roman" w:hAnsi="Times New Roman" w:cs="Times New Roman"/>
          <w:noProof/>
          <w:sz w:val="24"/>
          <w:szCs w:val="24"/>
        </w:rPr>
        <w:t>sljedećem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 xml:space="preserve"> razdoblju </w:t>
      </w:r>
      <w:r w:rsidR="007054B0" w:rsidRPr="00C91F33">
        <w:rPr>
          <w:rFonts w:ascii="Times New Roman" w:hAnsi="Times New Roman" w:cs="Times New Roman"/>
          <w:noProof/>
          <w:sz w:val="24"/>
          <w:szCs w:val="24"/>
        </w:rPr>
        <w:t xml:space="preserve">iznosi </w:t>
      </w:r>
      <w:r w:rsidR="006723BB">
        <w:rPr>
          <w:rFonts w:ascii="Times New Roman" w:hAnsi="Times New Roman" w:cs="Times New Roman"/>
          <w:noProof/>
          <w:sz w:val="24"/>
          <w:szCs w:val="24"/>
        </w:rPr>
        <w:t>3.546.824,30</w:t>
      </w:r>
      <w:r w:rsidR="00191156">
        <w:rPr>
          <w:rFonts w:ascii="Times New Roman" w:hAnsi="Times New Roman" w:cs="Times New Roman"/>
          <w:noProof/>
          <w:sz w:val="24"/>
          <w:szCs w:val="24"/>
        </w:rPr>
        <w:t xml:space="preserve"> kn</w:t>
      </w:r>
      <w:r w:rsidR="0034719D" w:rsidRPr="00C91F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3D18" w:rsidRPr="00C91F33">
        <w:rPr>
          <w:rFonts w:ascii="Times New Roman" w:hAnsi="Times New Roman" w:cs="Times New Roman"/>
          <w:noProof/>
          <w:sz w:val="24"/>
          <w:szCs w:val="24"/>
        </w:rPr>
        <w:t>(</w:t>
      </w:r>
      <w:r>
        <w:rPr>
          <w:rFonts w:ascii="Times New Roman" w:hAnsi="Times New Roman" w:cs="Times New Roman"/>
          <w:noProof/>
          <w:sz w:val="24"/>
          <w:szCs w:val="24"/>
        </w:rPr>
        <w:t>šifra X006</w:t>
      </w:r>
      <w:r w:rsidR="00C3303F">
        <w:rPr>
          <w:rFonts w:ascii="Times New Roman" w:hAnsi="Times New Roman" w:cs="Times New Roman"/>
          <w:noProof/>
          <w:sz w:val="24"/>
          <w:szCs w:val="24"/>
        </w:rPr>
        <w:t xml:space="preserve">). </w:t>
      </w:r>
    </w:p>
    <w:p w14:paraId="4D389A04" w14:textId="77777777" w:rsidR="00820DE0" w:rsidRPr="00A02A8A" w:rsidRDefault="00820DE0">
      <w:pPr>
        <w:spacing w:after="160" w:line="259" w:lineRule="auto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A02A8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br w:type="page"/>
      </w:r>
    </w:p>
    <w:p w14:paraId="0039E908" w14:textId="77777777" w:rsidR="00926C09" w:rsidRPr="006F250E" w:rsidRDefault="00926C09" w:rsidP="00926C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50E">
        <w:rPr>
          <w:rFonts w:ascii="Times New Roman" w:hAnsi="Times New Roman" w:cs="Times New Roman"/>
          <w:b/>
          <w:sz w:val="24"/>
          <w:szCs w:val="24"/>
        </w:rPr>
        <w:lastRenderedPageBreak/>
        <w:t>BILANCA</w:t>
      </w:r>
    </w:p>
    <w:p w14:paraId="48AD8B75" w14:textId="4BC74A94" w:rsidR="00926C09" w:rsidRPr="00202F53" w:rsidRDefault="00926C09" w:rsidP="00926C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1 - Imovina</w:t>
      </w:r>
    </w:p>
    <w:p w14:paraId="44CBE025" w14:textId="03D00156" w:rsidR="00926C09" w:rsidRPr="00543D00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Imovina </w:t>
      </w:r>
      <w:r w:rsidR="00431B65" w:rsidRPr="00543D00">
        <w:rPr>
          <w:rFonts w:ascii="Times New Roman" w:hAnsi="Times New Roman" w:cs="Times New Roman"/>
          <w:sz w:val="24"/>
          <w:szCs w:val="24"/>
        </w:rPr>
        <w:t>(šifra B00</w:t>
      </w:r>
      <w:r w:rsidR="00AC5E88">
        <w:rPr>
          <w:rFonts w:ascii="Times New Roman" w:hAnsi="Times New Roman" w:cs="Times New Roman"/>
          <w:sz w:val="24"/>
          <w:szCs w:val="24"/>
        </w:rPr>
        <w:t>1</w:t>
      </w:r>
      <w:r w:rsidR="00431B65" w:rsidRPr="00543D00">
        <w:rPr>
          <w:rFonts w:ascii="Times New Roman" w:hAnsi="Times New Roman" w:cs="Times New Roman"/>
          <w:sz w:val="24"/>
          <w:szCs w:val="24"/>
        </w:rPr>
        <w:t xml:space="preserve">) </w:t>
      </w:r>
      <w:r w:rsidRPr="00543D00">
        <w:rPr>
          <w:rFonts w:ascii="Times New Roman" w:hAnsi="Times New Roman" w:cs="Times New Roman"/>
          <w:sz w:val="24"/>
          <w:szCs w:val="24"/>
        </w:rPr>
        <w:t>na kraju izvještajnog razdoblja s 31.12.202</w:t>
      </w:r>
      <w:r w:rsidR="00543D00" w:rsidRPr="00543D00">
        <w:rPr>
          <w:rFonts w:ascii="Times New Roman" w:hAnsi="Times New Roman" w:cs="Times New Roman"/>
          <w:sz w:val="24"/>
          <w:szCs w:val="24"/>
        </w:rPr>
        <w:t>2</w:t>
      </w:r>
      <w:r w:rsidRPr="00543D00">
        <w:rPr>
          <w:rFonts w:ascii="Times New Roman" w:hAnsi="Times New Roman" w:cs="Times New Roman"/>
          <w:sz w:val="24"/>
          <w:szCs w:val="24"/>
        </w:rPr>
        <w:t xml:space="preserve">.g iznosi </w:t>
      </w:r>
      <w:r w:rsidR="00543D00" w:rsidRPr="00543D00">
        <w:rPr>
          <w:rFonts w:ascii="Times New Roman" w:hAnsi="Times New Roman" w:cs="Times New Roman"/>
          <w:sz w:val="24"/>
          <w:szCs w:val="24"/>
        </w:rPr>
        <w:t>46.134.913,84</w:t>
      </w:r>
      <w:r w:rsidRPr="00543D00">
        <w:rPr>
          <w:rFonts w:ascii="Times New Roman" w:hAnsi="Times New Roman" w:cs="Times New Roman"/>
          <w:sz w:val="24"/>
          <w:szCs w:val="24"/>
        </w:rPr>
        <w:t xml:space="preserve"> kn. Povećanje u odnosu na prethodnu godinu </w:t>
      </w:r>
      <w:r w:rsidR="00543D00" w:rsidRPr="00543D00">
        <w:rPr>
          <w:rFonts w:ascii="Times New Roman" w:hAnsi="Times New Roman" w:cs="Times New Roman"/>
          <w:sz w:val="24"/>
          <w:szCs w:val="24"/>
        </w:rPr>
        <w:t>5,60</w:t>
      </w:r>
      <w:r w:rsidRPr="00543D0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51C7CA15" w14:textId="54FCE57B" w:rsidR="00926C09" w:rsidRPr="00543D00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Nefinancijska imovina </w:t>
      </w:r>
      <w:r w:rsidR="00543D00" w:rsidRPr="00543D00">
        <w:rPr>
          <w:rFonts w:ascii="Times New Roman" w:hAnsi="Times New Roman" w:cs="Times New Roman"/>
          <w:sz w:val="24"/>
          <w:szCs w:val="24"/>
        </w:rPr>
        <w:t xml:space="preserve">(šifra B002) </w:t>
      </w:r>
      <w:r w:rsidRPr="00543D00">
        <w:rPr>
          <w:rFonts w:ascii="Times New Roman" w:hAnsi="Times New Roman" w:cs="Times New Roman"/>
          <w:sz w:val="24"/>
          <w:szCs w:val="24"/>
        </w:rPr>
        <w:t xml:space="preserve">iznosi </w:t>
      </w:r>
      <w:r w:rsidR="00543D00" w:rsidRPr="00543D00">
        <w:rPr>
          <w:rFonts w:ascii="Times New Roman" w:hAnsi="Times New Roman" w:cs="Times New Roman"/>
          <w:sz w:val="24"/>
          <w:szCs w:val="24"/>
        </w:rPr>
        <w:t>30.036.783,07 kn</w:t>
      </w:r>
      <w:r w:rsidRPr="00543D00">
        <w:rPr>
          <w:rFonts w:ascii="Times New Roman" w:hAnsi="Times New Roman" w:cs="Times New Roman"/>
          <w:sz w:val="24"/>
          <w:szCs w:val="24"/>
        </w:rPr>
        <w:t xml:space="preserve">  i povećana je za </w:t>
      </w:r>
      <w:r w:rsidR="00543D00" w:rsidRPr="00543D00">
        <w:rPr>
          <w:rFonts w:ascii="Times New Roman" w:hAnsi="Times New Roman" w:cs="Times New Roman"/>
          <w:sz w:val="24"/>
          <w:szCs w:val="24"/>
        </w:rPr>
        <w:t>4,60</w:t>
      </w:r>
      <w:r w:rsidRPr="00543D00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58F1B58E" w14:textId="1875A944" w:rsidR="00926C09" w:rsidRPr="00543D00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>Neproizvedena dugotrajna imovina – vrijednost na 31. prosinac 202</w:t>
      </w:r>
      <w:r w:rsidR="00543D00">
        <w:rPr>
          <w:rFonts w:ascii="Times New Roman" w:hAnsi="Times New Roman" w:cs="Times New Roman"/>
          <w:sz w:val="24"/>
          <w:szCs w:val="24"/>
        </w:rPr>
        <w:t>2</w:t>
      </w:r>
      <w:r w:rsidRPr="00543D00">
        <w:rPr>
          <w:rFonts w:ascii="Times New Roman" w:hAnsi="Times New Roman" w:cs="Times New Roman"/>
          <w:sz w:val="24"/>
          <w:szCs w:val="24"/>
        </w:rPr>
        <w:t>.g.</w:t>
      </w:r>
      <w:r w:rsidR="00543D00">
        <w:rPr>
          <w:rFonts w:ascii="Times New Roman" w:hAnsi="Times New Roman" w:cs="Times New Roman"/>
          <w:sz w:val="24"/>
          <w:szCs w:val="24"/>
        </w:rPr>
        <w:t>veća</w:t>
      </w:r>
      <w:r w:rsidRPr="00543D00">
        <w:rPr>
          <w:rFonts w:ascii="Times New Roman" w:hAnsi="Times New Roman" w:cs="Times New Roman"/>
          <w:sz w:val="24"/>
          <w:szCs w:val="24"/>
        </w:rPr>
        <w:t xml:space="preserve"> je za </w:t>
      </w:r>
      <w:r w:rsidR="00543D00">
        <w:rPr>
          <w:rFonts w:ascii="Times New Roman" w:hAnsi="Times New Roman" w:cs="Times New Roman"/>
          <w:sz w:val="24"/>
          <w:szCs w:val="24"/>
        </w:rPr>
        <w:t>1,70</w:t>
      </w:r>
      <w:r w:rsidRPr="00543D00">
        <w:rPr>
          <w:rFonts w:ascii="Times New Roman" w:hAnsi="Times New Roman" w:cs="Times New Roman"/>
          <w:sz w:val="24"/>
          <w:szCs w:val="24"/>
        </w:rPr>
        <w:t xml:space="preserve"> % u odnosu na 1. siječanj 202</w:t>
      </w:r>
      <w:r w:rsidR="00543D00">
        <w:rPr>
          <w:rFonts w:ascii="Times New Roman" w:hAnsi="Times New Roman" w:cs="Times New Roman"/>
          <w:sz w:val="24"/>
          <w:szCs w:val="24"/>
        </w:rPr>
        <w:t>2</w:t>
      </w:r>
      <w:r w:rsidRPr="00543D00">
        <w:rPr>
          <w:rFonts w:ascii="Times New Roman" w:hAnsi="Times New Roman" w:cs="Times New Roman"/>
          <w:sz w:val="24"/>
          <w:szCs w:val="24"/>
        </w:rPr>
        <w:t>.g. zbog</w:t>
      </w:r>
      <w:r w:rsidR="00543D00">
        <w:rPr>
          <w:rFonts w:ascii="Times New Roman" w:hAnsi="Times New Roman" w:cs="Times New Roman"/>
          <w:sz w:val="24"/>
          <w:szCs w:val="24"/>
        </w:rPr>
        <w:t xml:space="preserve"> kupnje zemljišta (šifra 011) i projektne dokumentacije za nogostup (šifra 012)</w:t>
      </w:r>
    </w:p>
    <w:p w14:paraId="4BCEE040" w14:textId="7EF92E28" w:rsidR="00926C09" w:rsidRPr="00543D00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 xml:space="preserve">Proizvedena dugotrajna imovina – vrijednosti na 31. prosinac </w:t>
      </w:r>
      <w:r w:rsidR="00EB090F">
        <w:rPr>
          <w:rFonts w:ascii="Times New Roman" w:hAnsi="Times New Roman" w:cs="Times New Roman"/>
          <w:sz w:val="24"/>
          <w:szCs w:val="24"/>
        </w:rPr>
        <w:t>2022</w:t>
      </w:r>
      <w:r w:rsidRPr="00543D00">
        <w:rPr>
          <w:rFonts w:ascii="Times New Roman" w:hAnsi="Times New Roman" w:cs="Times New Roman"/>
          <w:sz w:val="24"/>
          <w:szCs w:val="24"/>
        </w:rPr>
        <w:t xml:space="preserve">.g. </w:t>
      </w:r>
      <w:r w:rsidR="00543D00">
        <w:rPr>
          <w:rFonts w:ascii="Times New Roman" w:hAnsi="Times New Roman" w:cs="Times New Roman"/>
          <w:sz w:val="24"/>
          <w:szCs w:val="24"/>
        </w:rPr>
        <w:t>veća</w:t>
      </w:r>
      <w:r w:rsidRPr="00543D00">
        <w:rPr>
          <w:rFonts w:ascii="Times New Roman" w:hAnsi="Times New Roman" w:cs="Times New Roman"/>
          <w:sz w:val="24"/>
          <w:szCs w:val="24"/>
        </w:rPr>
        <w:t xml:space="preserve"> je za </w:t>
      </w:r>
      <w:r w:rsidR="00543D00">
        <w:rPr>
          <w:rFonts w:ascii="Times New Roman" w:hAnsi="Times New Roman" w:cs="Times New Roman"/>
          <w:sz w:val="24"/>
          <w:szCs w:val="24"/>
        </w:rPr>
        <w:t>4,20</w:t>
      </w:r>
      <w:r w:rsidRPr="00543D00">
        <w:rPr>
          <w:rFonts w:ascii="Times New Roman" w:hAnsi="Times New Roman" w:cs="Times New Roman"/>
          <w:sz w:val="24"/>
          <w:szCs w:val="24"/>
        </w:rPr>
        <w:t xml:space="preserve">% u odnosu na 1. siječanj </w:t>
      </w:r>
      <w:r w:rsidR="00543D00">
        <w:rPr>
          <w:rFonts w:ascii="Times New Roman" w:hAnsi="Times New Roman" w:cs="Times New Roman"/>
          <w:sz w:val="24"/>
          <w:szCs w:val="24"/>
        </w:rPr>
        <w:t>2022</w:t>
      </w:r>
      <w:r w:rsidRPr="00543D00">
        <w:rPr>
          <w:rFonts w:ascii="Times New Roman" w:hAnsi="Times New Roman" w:cs="Times New Roman"/>
          <w:sz w:val="24"/>
          <w:szCs w:val="24"/>
        </w:rPr>
        <w:t>.g.</w:t>
      </w:r>
      <w:r w:rsidR="00543D00">
        <w:rPr>
          <w:rFonts w:ascii="Times New Roman" w:hAnsi="Times New Roman" w:cs="Times New Roman"/>
          <w:sz w:val="24"/>
          <w:szCs w:val="24"/>
        </w:rPr>
        <w:t xml:space="preserve"> te iznosi </w:t>
      </w:r>
      <w:r w:rsidR="00EB090F">
        <w:rPr>
          <w:rFonts w:ascii="Times New Roman" w:hAnsi="Times New Roman" w:cs="Times New Roman"/>
          <w:sz w:val="24"/>
          <w:szCs w:val="24"/>
        </w:rPr>
        <w:t xml:space="preserve"> </w:t>
      </w:r>
      <w:r w:rsidR="00543D00">
        <w:rPr>
          <w:rFonts w:ascii="Times New Roman" w:hAnsi="Times New Roman" w:cs="Times New Roman"/>
          <w:sz w:val="24"/>
          <w:szCs w:val="24"/>
        </w:rPr>
        <w:t>21.178.003,70 kn</w:t>
      </w:r>
      <w:r w:rsidR="00EB090F">
        <w:rPr>
          <w:rFonts w:ascii="Times New Roman" w:hAnsi="Times New Roman" w:cs="Times New Roman"/>
          <w:sz w:val="24"/>
          <w:szCs w:val="24"/>
        </w:rPr>
        <w:t xml:space="preserve">. Poslovni objekti (šifra 0212) povećani su za 7,90% uslijed promjene stolarije i obnove pročelja. </w:t>
      </w:r>
      <w:r w:rsidRPr="00543D00">
        <w:rPr>
          <w:rFonts w:ascii="Times New Roman" w:hAnsi="Times New Roman" w:cs="Times New Roman"/>
          <w:sz w:val="24"/>
          <w:szCs w:val="24"/>
        </w:rPr>
        <w:t xml:space="preserve">Vrijednost cesta, željeznica i ostalih prometnih objekata </w:t>
      </w:r>
      <w:r w:rsidR="00EB090F">
        <w:rPr>
          <w:rFonts w:ascii="Times New Roman" w:hAnsi="Times New Roman" w:cs="Times New Roman"/>
          <w:sz w:val="24"/>
          <w:szCs w:val="24"/>
        </w:rPr>
        <w:t xml:space="preserve">(šifra 0213) </w:t>
      </w:r>
      <w:r w:rsidRPr="00543D00">
        <w:rPr>
          <w:rFonts w:ascii="Times New Roman" w:hAnsi="Times New Roman" w:cs="Times New Roman"/>
          <w:sz w:val="24"/>
          <w:szCs w:val="24"/>
        </w:rPr>
        <w:t xml:space="preserve">veća je za </w:t>
      </w:r>
      <w:r w:rsidR="00EB090F">
        <w:rPr>
          <w:rFonts w:ascii="Times New Roman" w:hAnsi="Times New Roman" w:cs="Times New Roman"/>
          <w:sz w:val="24"/>
          <w:szCs w:val="24"/>
        </w:rPr>
        <w:t>5,10</w:t>
      </w:r>
      <w:r w:rsidRPr="00543D00">
        <w:rPr>
          <w:rFonts w:ascii="Times New Roman" w:hAnsi="Times New Roman" w:cs="Times New Roman"/>
          <w:sz w:val="24"/>
          <w:szCs w:val="24"/>
        </w:rPr>
        <w:t>% zbog asfaltiranja nerazvrst</w:t>
      </w:r>
      <w:r w:rsidR="00EB090F">
        <w:rPr>
          <w:rFonts w:ascii="Times New Roman" w:hAnsi="Times New Roman" w:cs="Times New Roman"/>
          <w:sz w:val="24"/>
          <w:szCs w:val="24"/>
        </w:rPr>
        <w:t xml:space="preserve">anih cesta. Vrijednost ostalih građevinskih objekata </w:t>
      </w:r>
      <w:r w:rsidRPr="00543D00">
        <w:rPr>
          <w:rFonts w:ascii="Times New Roman" w:hAnsi="Times New Roman" w:cs="Times New Roman"/>
          <w:sz w:val="24"/>
          <w:szCs w:val="24"/>
        </w:rPr>
        <w:t xml:space="preserve">veća </w:t>
      </w:r>
      <w:r w:rsidR="00AC5E88">
        <w:rPr>
          <w:rFonts w:ascii="Times New Roman" w:hAnsi="Times New Roman" w:cs="Times New Roman"/>
          <w:sz w:val="24"/>
          <w:szCs w:val="24"/>
        </w:rPr>
        <w:t xml:space="preserve">je </w:t>
      </w:r>
      <w:r w:rsidRPr="00543D00">
        <w:rPr>
          <w:rFonts w:ascii="Times New Roman" w:hAnsi="Times New Roman" w:cs="Times New Roman"/>
          <w:sz w:val="24"/>
          <w:szCs w:val="24"/>
        </w:rPr>
        <w:t xml:space="preserve">za </w:t>
      </w:r>
      <w:r w:rsidR="00EB090F">
        <w:rPr>
          <w:rFonts w:ascii="Times New Roman" w:hAnsi="Times New Roman" w:cs="Times New Roman"/>
          <w:sz w:val="24"/>
          <w:szCs w:val="24"/>
        </w:rPr>
        <w:t>8,50</w:t>
      </w:r>
      <w:r w:rsidRPr="00543D00">
        <w:rPr>
          <w:rFonts w:ascii="Times New Roman" w:hAnsi="Times New Roman" w:cs="Times New Roman"/>
          <w:sz w:val="24"/>
          <w:szCs w:val="24"/>
        </w:rPr>
        <w:t xml:space="preserve"> %</w:t>
      </w:r>
      <w:r w:rsidR="00AC5E88">
        <w:rPr>
          <w:rFonts w:ascii="Times New Roman" w:hAnsi="Times New Roman" w:cs="Times New Roman"/>
          <w:sz w:val="24"/>
          <w:szCs w:val="24"/>
        </w:rPr>
        <w:t xml:space="preserve"> zbog</w:t>
      </w:r>
      <w:r w:rsidRPr="00543D00">
        <w:rPr>
          <w:rFonts w:ascii="Times New Roman" w:hAnsi="Times New Roman" w:cs="Times New Roman"/>
          <w:sz w:val="24"/>
          <w:szCs w:val="24"/>
        </w:rPr>
        <w:t xml:space="preserve"> </w:t>
      </w:r>
      <w:r w:rsidR="00EB090F">
        <w:rPr>
          <w:rFonts w:ascii="Times New Roman" w:hAnsi="Times New Roman" w:cs="Times New Roman"/>
          <w:sz w:val="24"/>
          <w:szCs w:val="24"/>
        </w:rPr>
        <w:t xml:space="preserve">modernizacije led rasvjete i adaptacije prostorija NK. </w:t>
      </w:r>
      <w:r w:rsidRPr="00543D00">
        <w:rPr>
          <w:rFonts w:ascii="Times New Roman" w:hAnsi="Times New Roman" w:cs="Times New Roman"/>
          <w:sz w:val="24"/>
          <w:szCs w:val="24"/>
        </w:rPr>
        <w:t xml:space="preserve">Postrojenje i oprema </w:t>
      </w:r>
      <w:r w:rsidR="00EB090F">
        <w:rPr>
          <w:rFonts w:ascii="Times New Roman" w:hAnsi="Times New Roman" w:cs="Times New Roman"/>
          <w:sz w:val="24"/>
          <w:szCs w:val="24"/>
        </w:rPr>
        <w:t xml:space="preserve">(šifra 022 i 02922) </w:t>
      </w:r>
      <w:r w:rsidRPr="00543D00">
        <w:rPr>
          <w:rFonts w:ascii="Times New Roman" w:hAnsi="Times New Roman" w:cs="Times New Roman"/>
          <w:sz w:val="24"/>
          <w:szCs w:val="24"/>
        </w:rPr>
        <w:t>bilježi povećanje i na dan 31. prosinac 202</w:t>
      </w:r>
      <w:r w:rsidR="00EB090F">
        <w:rPr>
          <w:rFonts w:ascii="Times New Roman" w:hAnsi="Times New Roman" w:cs="Times New Roman"/>
          <w:sz w:val="24"/>
          <w:szCs w:val="24"/>
        </w:rPr>
        <w:t>2</w:t>
      </w:r>
      <w:r w:rsidRPr="00543D00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EB090F">
        <w:rPr>
          <w:rFonts w:ascii="Times New Roman" w:hAnsi="Times New Roman" w:cs="Times New Roman"/>
          <w:sz w:val="24"/>
          <w:szCs w:val="24"/>
        </w:rPr>
        <w:t>185.118,38</w:t>
      </w:r>
      <w:r w:rsidRPr="00543D00">
        <w:rPr>
          <w:rFonts w:ascii="Times New Roman" w:hAnsi="Times New Roman" w:cs="Times New Roman"/>
          <w:sz w:val="24"/>
          <w:szCs w:val="24"/>
        </w:rPr>
        <w:t xml:space="preserve"> kn. Najznačajnija odstupanja odnose se na nabavu </w:t>
      </w:r>
      <w:r w:rsidR="007326B3">
        <w:rPr>
          <w:rFonts w:ascii="Times New Roman" w:hAnsi="Times New Roman" w:cs="Times New Roman"/>
          <w:sz w:val="24"/>
          <w:szCs w:val="24"/>
        </w:rPr>
        <w:t xml:space="preserve">službenih mobitela (šifra 0222), klima uređaja (šifra 0223) </w:t>
      </w:r>
      <w:r w:rsidRPr="00543D00">
        <w:rPr>
          <w:rFonts w:ascii="Times New Roman" w:hAnsi="Times New Roman" w:cs="Times New Roman"/>
          <w:sz w:val="24"/>
          <w:szCs w:val="24"/>
        </w:rPr>
        <w:t xml:space="preserve">te nabavu božićnih </w:t>
      </w:r>
      <w:r w:rsidR="007326B3">
        <w:rPr>
          <w:rFonts w:ascii="Times New Roman" w:hAnsi="Times New Roman" w:cs="Times New Roman"/>
          <w:sz w:val="24"/>
          <w:szCs w:val="24"/>
        </w:rPr>
        <w:t>dekoracija</w:t>
      </w:r>
      <w:r w:rsidRPr="00543D00">
        <w:rPr>
          <w:rFonts w:ascii="Times New Roman" w:hAnsi="Times New Roman" w:cs="Times New Roman"/>
          <w:sz w:val="24"/>
          <w:szCs w:val="24"/>
        </w:rPr>
        <w:t xml:space="preserve"> </w:t>
      </w:r>
      <w:r w:rsidR="007326B3">
        <w:rPr>
          <w:rFonts w:ascii="Times New Roman" w:hAnsi="Times New Roman" w:cs="Times New Roman"/>
          <w:sz w:val="24"/>
          <w:szCs w:val="24"/>
        </w:rPr>
        <w:t>(šifra 0227). Prijevozna sredstva (šifra 0231) bilježe povećanje zbog naslijeđenog automobila.</w:t>
      </w:r>
    </w:p>
    <w:p w14:paraId="5A7DE505" w14:textId="5C06A872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D00">
        <w:rPr>
          <w:rFonts w:ascii="Times New Roman" w:hAnsi="Times New Roman" w:cs="Times New Roman"/>
          <w:sz w:val="24"/>
          <w:szCs w:val="24"/>
        </w:rPr>
        <w:t>Dugotrajna nefinancijska imovina u pripremi</w:t>
      </w:r>
      <w:r w:rsidR="007326B3">
        <w:rPr>
          <w:rFonts w:ascii="Times New Roman" w:hAnsi="Times New Roman" w:cs="Times New Roman"/>
          <w:sz w:val="24"/>
          <w:szCs w:val="24"/>
        </w:rPr>
        <w:t xml:space="preserve"> (šifra 05)</w:t>
      </w:r>
      <w:r w:rsidRPr="00543D00">
        <w:rPr>
          <w:rFonts w:ascii="Times New Roman" w:hAnsi="Times New Roman" w:cs="Times New Roman"/>
          <w:sz w:val="24"/>
          <w:szCs w:val="24"/>
        </w:rPr>
        <w:t xml:space="preserve"> povećana je za </w:t>
      </w:r>
      <w:r w:rsidR="007326B3">
        <w:rPr>
          <w:rFonts w:ascii="Times New Roman" w:hAnsi="Times New Roman" w:cs="Times New Roman"/>
          <w:sz w:val="24"/>
          <w:szCs w:val="24"/>
        </w:rPr>
        <w:t>9,20</w:t>
      </w:r>
      <w:r w:rsidRPr="00543D00">
        <w:rPr>
          <w:rFonts w:ascii="Times New Roman" w:hAnsi="Times New Roman" w:cs="Times New Roman"/>
          <w:sz w:val="24"/>
          <w:szCs w:val="24"/>
        </w:rPr>
        <w:t xml:space="preserve"> %</w:t>
      </w:r>
      <w:r w:rsidR="007326B3">
        <w:rPr>
          <w:rFonts w:ascii="Times New Roman" w:hAnsi="Times New Roman" w:cs="Times New Roman"/>
          <w:sz w:val="24"/>
          <w:szCs w:val="24"/>
        </w:rPr>
        <w:t>. Građevinski objekti u pripremi (šifra 051) odnose se na projektiranje igrališta, postrojenja i oprema u pripremi (šifra 052) na oznake za pješačke staze i info tablu.</w:t>
      </w:r>
      <w:r w:rsidRPr="00543D00">
        <w:rPr>
          <w:rFonts w:ascii="Times New Roman" w:hAnsi="Times New Roman" w:cs="Times New Roman"/>
          <w:sz w:val="24"/>
          <w:szCs w:val="24"/>
        </w:rPr>
        <w:t xml:space="preserve"> </w:t>
      </w:r>
      <w:r w:rsidR="007326B3">
        <w:rPr>
          <w:rFonts w:ascii="Times New Roman" w:hAnsi="Times New Roman" w:cs="Times New Roman"/>
          <w:sz w:val="24"/>
          <w:szCs w:val="24"/>
        </w:rPr>
        <w:t xml:space="preserve"> Ostala nematerijalna porizvedena imovina u pripremi (šifra 055) odnosi se na nastavak katastarske izmjere- reambulacije.</w:t>
      </w:r>
    </w:p>
    <w:p w14:paraId="480BB0BB" w14:textId="77777777" w:rsidR="00CC2E09" w:rsidRDefault="00CC2E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EB9D9" w14:textId="0E46C99B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DB">
        <w:rPr>
          <w:rFonts w:ascii="Times New Roman" w:hAnsi="Times New Roman" w:cs="Times New Roman"/>
          <w:sz w:val="24"/>
          <w:szCs w:val="24"/>
        </w:rPr>
        <w:t xml:space="preserve">Financijska imovina </w:t>
      </w:r>
      <w:r w:rsidR="00BF4CDB">
        <w:rPr>
          <w:rFonts w:ascii="Times New Roman" w:hAnsi="Times New Roman" w:cs="Times New Roman"/>
          <w:sz w:val="24"/>
          <w:szCs w:val="24"/>
        </w:rPr>
        <w:t xml:space="preserve">(šifra 1) </w:t>
      </w:r>
      <w:r w:rsidRPr="00BF4CDB">
        <w:rPr>
          <w:rFonts w:ascii="Times New Roman" w:hAnsi="Times New Roman" w:cs="Times New Roman"/>
          <w:sz w:val="24"/>
          <w:szCs w:val="24"/>
        </w:rPr>
        <w:t>iznosi</w:t>
      </w:r>
      <w:r w:rsidRPr="00C5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DB">
        <w:rPr>
          <w:rFonts w:ascii="Times New Roman" w:hAnsi="Times New Roman" w:cs="Times New Roman"/>
          <w:sz w:val="24"/>
          <w:szCs w:val="24"/>
        </w:rPr>
        <w:t>16.098.130,77</w:t>
      </w:r>
      <w:r>
        <w:rPr>
          <w:rFonts w:ascii="Times New Roman" w:hAnsi="Times New Roman" w:cs="Times New Roman"/>
          <w:sz w:val="24"/>
          <w:szCs w:val="24"/>
        </w:rPr>
        <w:t xml:space="preserve"> kn i sastoji se od:</w:t>
      </w:r>
    </w:p>
    <w:p w14:paraId="3D3C9EFC" w14:textId="4E623B16" w:rsidR="00926C09" w:rsidRDefault="00926C09" w:rsidP="00926C0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nov</w:t>
      </w:r>
      <w:r w:rsidR="00F15F34">
        <w:rPr>
          <w:rFonts w:ascii="Times New Roman" w:hAnsi="Times New Roman" w:cs="Times New Roman"/>
          <w:sz w:val="24"/>
          <w:szCs w:val="24"/>
        </w:rPr>
        <w:t>ac</w:t>
      </w:r>
      <w:r w:rsidRPr="000C25CC">
        <w:rPr>
          <w:rFonts w:ascii="Times New Roman" w:hAnsi="Times New Roman" w:cs="Times New Roman"/>
          <w:sz w:val="24"/>
          <w:szCs w:val="24"/>
        </w:rPr>
        <w:t xml:space="preserve"> na računu kod tuzem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C25CC">
        <w:rPr>
          <w:rFonts w:ascii="Times New Roman" w:hAnsi="Times New Roman" w:cs="Times New Roman"/>
          <w:sz w:val="24"/>
          <w:szCs w:val="24"/>
        </w:rPr>
        <w:t xml:space="preserve">ih poslovnih banka iznosi </w:t>
      </w:r>
      <w:r w:rsidR="00BF4CDB">
        <w:rPr>
          <w:rFonts w:ascii="Times New Roman" w:hAnsi="Times New Roman" w:cs="Times New Roman"/>
          <w:sz w:val="24"/>
          <w:szCs w:val="24"/>
        </w:rPr>
        <w:t>4.010.110,29 kn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C0BA0" w14:textId="6F2A3881" w:rsidR="00926C09" w:rsidRDefault="00926C09" w:rsidP="00926C0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76">
        <w:rPr>
          <w:rFonts w:ascii="Times New Roman" w:hAnsi="Times New Roman" w:cs="Times New Roman"/>
          <w:sz w:val="24"/>
          <w:szCs w:val="24"/>
        </w:rPr>
        <w:t>potraživanja za više plaćene poreze i dopri</w:t>
      </w:r>
      <w:r>
        <w:rPr>
          <w:rFonts w:ascii="Times New Roman" w:hAnsi="Times New Roman" w:cs="Times New Roman"/>
          <w:sz w:val="24"/>
          <w:szCs w:val="24"/>
        </w:rPr>
        <w:t>nose</w:t>
      </w:r>
      <w:r w:rsidRPr="00C83C76">
        <w:rPr>
          <w:rFonts w:ascii="Times New Roman" w:hAnsi="Times New Roman" w:cs="Times New Roman"/>
          <w:sz w:val="24"/>
          <w:szCs w:val="24"/>
        </w:rPr>
        <w:t xml:space="preserve"> u iznosu </w:t>
      </w:r>
      <w:r w:rsidR="00BF4CDB">
        <w:rPr>
          <w:rFonts w:ascii="Times New Roman" w:hAnsi="Times New Roman" w:cs="Times New Roman"/>
          <w:sz w:val="24"/>
          <w:szCs w:val="24"/>
        </w:rPr>
        <w:t>130,91 kn</w:t>
      </w:r>
      <w:r w:rsidRPr="00C83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6F069" w14:textId="4EEF8721" w:rsidR="00926C09" w:rsidRPr="00C83C76" w:rsidRDefault="00926C09" w:rsidP="00926C0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C76">
        <w:rPr>
          <w:rFonts w:ascii="Times New Roman" w:hAnsi="Times New Roman" w:cs="Times New Roman"/>
          <w:sz w:val="24"/>
          <w:szCs w:val="24"/>
        </w:rPr>
        <w:t>dionica i udjela u glavnici trgovačkih  društava u javnom sektoru u iznosu od 11.489.300</w:t>
      </w:r>
      <w:r w:rsidR="00BF4CDB">
        <w:rPr>
          <w:rFonts w:ascii="Times New Roman" w:hAnsi="Times New Roman" w:cs="Times New Roman"/>
          <w:sz w:val="24"/>
          <w:szCs w:val="24"/>
        </w:rPr>
        <w:t>,00</w:t>
      </w:r>
      <w:r w:rsidRPr="00C83C76">
        <w:rPr>
          <w:rFonts w:ascii="Times New Roman" w:hAnsi="Times New Roman" w:cs="Times New Roman"/>
          <w:sz w:val="24"/>
          <w:szCs w:val="24"/>
        </w:rPr>
        <w:t xml:space="preserve"> kn (10.000</w:t>
      </w:r>
      <w:r w:rsidR="002E06B3">
        <w:rPr>
          <w:rFonts w:ascii="Times New Roman" w:hAnsi="Times New Roman" w:cs="Times New Roman"/>
          <w:sz w:val="24"/>
          <w:szCs w:val="24"/>
        </w:rPr>
        <w:t>,00</w:t>
      </w:r>
      <w:r w:rsidRPr="00C83C76">
        <w:rPr>
          <w:rFonts w:ascii="Times New Roman" w:hAnsi="Times New Roman" w:cs="Times New Roman"/>
          <w:sz w:val="24"/>
          <w:szCs w:val="24"/>
        </w:rPr>
        <w:t xml:space="preserve"> kn Komunalno društvo Draganić, 11.479.300</w:t>
      </w:r>
      <w:r w:rsidR="002E06B3">
        <w:rPr>
          <w:rFonts w:ascii="Times New Roman" w:hAnsi="Times New Roman" w:cs="Times New Roman"/>
          <w:sz w:val="24"/>
          <w:szCs w:val="24"/>
        </w:rPr>
        <w:t>,00</w:t>
      </w:r>
      <w:r w:rsidRPr="00C83C76">
        <w:rPr>
          <w:rFonts w:ascii="Times New Roman" w:hAnsi="Times New Roman" w:cs="Times New Roman"/>
          <w:sz w:val="24"/>
          <w:szCs w:val="24"/>
        </w:rPr>
        <w:t xml:space="preserve"> kn u Vodovodu i Kanalizaciji d.o.o.)</w:t>
      </w:r>
    </w:p>
    <w:p w14:paraId="1481CC95" w14:textId="3BA10519" w:rsidR="00926C09" w:rsidRDefault="00926C09" w:rsidP="00926C0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t>potraživanja za prihode poslovanja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C">
        <w:rPr>
          <w:rFonts w:ascii="Times New Roman" w:hAnsi="Times New Roman" w:cs="Times New Roman"/>
          <w:sz w:val="24"/>
          <w:szCs w:val="24"/>
        </w:rPr>
        <w:t>u iznosu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0C25CC">
        <w:rPr>
          <w:rFonts w:ascii="Times New Roman" w:hAnsi="Times New Roman" w:cs="Times New Roman"/>
          <w:sz w:val="24"/>
          <w:szCs w:val="24"/>
        </w:rPr>
        <w:t xml:space="preserve"> </w:t>
      </w:r>
      <w:r w:rsidR="00BF4CDB">
        <w:rPr>
          <w:rFonts w:ascii="Times New Roman" w:hAnsi="Times New Roman" w:cs="Times New Roman"/>
          <w:sz w:val="24"/>
          <w:szCs w:val="24"/>
        </w:rPr>
        <w:t>527.394,38</w:t>
      </w:r>
      <w:r w:rsidRPr="000C25CC">
        <w:rPr>
          <w:rFonts w:ascii="Times New Roman" w:hAnsi="Times New Roman" w:cs="Times New Roman"/>
          <w:sz w:val="24"/>
          <w:szCs w:val="24"/>
        </w:rPr>
        <w:t xml:space="preserve"> kn</w:t>
      </w:r>
    </w:p>
    <w:p w14:paraId="52921AD6" w14:textId="52818799" w:rsidR="00926C09" w:rsidRPr="000C25CC" w:rsidRDefault="00926C09" w:rsidP="00926C09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5CC">
        <w:rPr>
          <w:rFonts w:ascii="Times New Roman" w:hAnsi="Times New Roman" w:cs="Times New Roman"/>
          <w:sz w:val="24"/>
          <w:szCs w:val="24"/>
        </w:rPr>
        <w:lastRenderedPageBreak/>
        <w:t>kontinuiranih rashoda budućih razdoblja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5CC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F4CDB">
        <w:rPr>
          <w:rFonts w:ascii="Times New Roman" w:hAnsi="Times New Roman" w:cs="Times New Roman"/>
          <w:sz w:val="24"/>
          <w:szCs w:val="24"/>
        </w:rPr>
        <w:t>71.195,19</w:t>
      </w:r>
      <w:r w:rsidRPr="000C25CC">
        <w:rPr>
          <w:rFonts w:ascii="Times New Roman" w:hAnsi="Times New Roman" w:cs="Times New Roman"/>
          <w:sz w:val="24"/>
          <w:szCs w:val="24"/>
        </w:rPr>
        <w:t xml:space="preserve"> kn koji se </w:t>
      </w:r>
      <w:r>
        <w:rPr>
          <w:rFonts w:ascii="Times New Roman" w:hAnsi="Times New Roman" w:cs="Times New Roman"/>
          <w:sz w:val="24"/>
          <w:szCs w:val="24"/>
        </w:rPr>
        <w:t>odnose na plaću za prosinac 202</w:t>
      </w:r>
      <w:r w:rsidR="00BF4CDB">
        <w:rPr>
          <w:rFonts w:ascii="Times New Roman" w:hAnsi="Times New Roman" w:cs="Times New Roman"/>
          <w:sz w:val="24"/>
          <w:szCs w:val="24"/>
        </w:rPr>
        <w:t>2</w:t>
      </w:r>
      <w:r w:rsidRPr="000C25CC">
        <w:rPr>
          <w:rFonts w:ascii="Times New Roman" w:hAnsi="Times New Roman" w:cs="Times New Roman"/>
          <w:sz w:val="24"/>
          <w:szCs w:val="24"/>
        </w:rPr>
        <w:t>.g</w:t>
      </w:r>
    </w:p>
    <w:p w14:paraId="4A1C721C" w14:textId="77777777" w:rsidR="00926C09" w:rsidRPr="001D76EA" w:rsidRDefault="00926C09" w:rsidP="00926C0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0528B5E" w14:textId="7BB61919" w:rsidR="00926C09" w:rsidRPr="000C25CC" w:rsidRDefault="00BF4CDB" w:rsidP="00926C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2 - Obveze</w:t>
      </w:r>
    </w:p>
    <w:p w14:paraId="39B95DE8" w14:textId="28208B2E" w:rsidR="00926C09" w:rsidRPr="000C25CC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CDB">
        <w:rPr>
          <w:rFonts w:ascii="Times New Roman" w:hAnsi="Times New Roman" w:cs="Times New Roman"/>
          <w:sz w:val="24"/>
          <w:szCs w:val="24"/>
        </w:rPr>
        <w:t>Obveze z</w:t>
      </w:r>
      <w:r>
        <w:rPr>
          <w:rFonts w:ascii="Times New Roman" w:hAnsi="Times New Roman" w:cs="Times New Roman"/>
          <w:sz w:val="24"/>
          <w:szCs w:val="24"/>
        </w:rPr>
        <w:t>a 202</w:t>
      </w:r>
      <w:r w:rsidR="00BF4CDB">
        <w:rPr>
          <w:rFonts w:ascii="Times New Roman" w:hAnsi="Times New Roman" w:cs="Times New Roman"/>
          <w:sz w:val="24"/>
          <w:szCs w:val="24"/>
        </w:rPr>
        <w:t>2</w:t>
      </w:r>
      <w:r w:rsidRPr="000C25CC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BF4CDB">
        <w:rPr>
          <w:rFonts w:ascii="Times New Roman" w:hAnsi="Times New Roman" w:cs="Times New Roman"/>
          <w:sz w:val="24"/>
          <w:szCs w:val="24"/>
        </w:rPr>
        <w:t>534.</w:t>
      </w:r>
      <w:r w:rsidR="00EE3525">
        <w:rPr>
          <w:rFonts w:ascii="Times New Roman" w:hAnsi="Times New Roman" w:cs="Times New Roman"/>
          <w:sz w:val="24"/>
          <w:szCs w:val="24"/>
        </w:rPr>
        <w:t>612,10</w:t>
      </w:r>
      <w:r>
        <w:rPr>
          <w:rFonts w:ascii="Times New Roman" w:hAnsi="Times New Roman" w:cs="Times New Roman"/>
          <w:sz w:val="24"/>
          <w:szCs w:val="24"/>
        </w:rPr>
        <w:t xml:space="preserve"> kn. Obveze za rashode poslovanja iznose </w:t>
      </w:r>
      <w:r w:rsidR="00BF4CDB">
        <w:rPr>
          <w:rFonts w:ascii="Times New Roman" w:hAnsi="Times New Roman" w:cs="Times New Roman"/>
          <w:sz w:val="24"/>
          <w:szCs w:val="24"/>
        </w:rPr>
        <w:t xml:space="preserve">263.567,24 </w:t>
      </w:r>
      <w:r>
        <w:rPr>
          <w:rFonts w:ascii="Times New Roman" w:hAnsi="Times New Roman" w:cs="Times New Roman"/>
          <w:sz w:val="24"/>
          <w:szCs w:val="24"/>
        </w:rPr>
        <w:t xml:space="preserve">kn dok Obveze za nabavu nefinancijske imovine iznose </w:t>
      </w:r>
      <w:r w:rsidR="00BF4CDB">
        <w:rPr>
          <w:rFonts w:ascii="Times New Roman" w:hAnsi="Times New Roman" w:cs="Times New Roman"/>
          <w:sz w:val="24"/>
          <w:szCs w:val="24"/>
        </w:rPr>
        <w:t>271.044,86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14:paraId="17544F12" w14:textId="77777777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2B73" w14:textId="0C361AB8" w:rsidR="00926C09" w:rsidRDefault="00BF4CDB" w:rsidP="00926C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Bilješka broj 3 - </w:t>
      </w:r>
      <w:r w:rsidRPr="00ED18B2">
        <w:rPr>
          <w:rFonts w:ascii="Times New Roman" w:hAnsi="Times New Roman" w:cs="Times New Roman"/>
          <w:b/>
          <w:sz w:val="24"/>
          <w:szCs w:val="24"/>
        </w:rPr>
        <w:t>Višak</w:t>
      </w:r>
      <w:r>
        <w:rPr>
          <w:rFonts w:ascii="Times New Roman" w:hAnsi="Times New Roman" w:cs="Times New Roman"/>
          <w:b/>
          <w:sz w:val="24"/>
          <w:szCs w:val="24"/>
        </w:rPr>
        <w:t>/manjak</w:t>
      </w:r>
      <w:r w:rsidRPr="00ED18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prihoda</w:t>
      </w:r>
    </w:p>
    <w:p w14:paraId="0B3FE61F" w14:textId="644C7049" w:rsidR="00926C09" w:rsidRPr="00943CEB" w:rsidRDefault="00926C09" w:rsidP="00926C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kraju proračunske godine utvrđen je višak prihoda u ukupnom iznosu od </w:t>
      </w:r>
      <w:r w:rsidR="00BF4CDB">
        <w:rPr>
          <w:rFonts w:ascii="Times New Roman" w:hAnsi="Times New Roman" w:cs="Times New Roman"/>
          <w:sz w:val="24"/>
          <w:szCs w:val="24"/>
        </w:rPr>
        <w:t>3.546.824,30</w:t>
      </w:r>
      <w:r>
        <w:rPr>
          <w:rFonts w:ascii="Times New Roman" w:hAnsi="Times New Roman" w:cs="Times New Roman"/>
          <w:sz w:val="24"/>
          <w:szCs w:val="24"/>
        </w:rPr>
        <w:t xml:space="preserve"> kn koji je ostvaren, nakon propisane korekcije rezultata poslovanja prema članku 82. Pravilnika o proračunskom računovodstvu, te se sastoji od viška prihoda poslovanja </w:t>
      </w:r>
      <w:r w:rsidR="00BF4CDB">
        <w:rPr>
          <w:rFonts w:ascii="Times New Roman" w:hAnsi="Times New Roman" w:cs="Times New Roman"/>
          <w:sz w:val="24"/>
          <w:szCs w:val="24"/>
        </w:rPr>
        <w:t>5.701.431,75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="00BF4CDB">
        <w:rPr>
          <w:rFonts w:ascii="Times New Roman" w:hAnsi="Times New Roman" w:cs="Times New Roman"/>
          <w:sz w:val="24"/>
          <w:szCs w:val="24"/>
        </w:rPr>
        <w:t>manjka</w:t>
      </w:r>
      <w:r>
        <w:rPr>
          <w:rFonts w:ascii="Times New Roman" w:hAnsi="Times New Roman" w:cs="Times New Roman"/>
          <w:sz w:val="24"/>
          <w:szCs w:val="24"/>
        </w:rPr>
        <w:t xml:space="preserve"> prihoda od nefinancijske imovine </w:t>
      </w:r>
      <w:r w:rsidR="00BF4CDB">
        <w:rPr>
          <w:rFonts w:ascii="Times New Roman" w:hAnsi="Times New Roman" w:cs="Times New Roman"/>
          <w:sz w:val="24"/>
          <w:szCs w:val="24"/>
        </w:rPr>
        <w:t>2.154.607,45 kn.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AECCD" w14:textId="77777777" w:rsidR="00BF4CDB" w:rsidRDefault="00BF4CDB" w:rsidP="00926C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24BBD" w14:textId="7CBADABC" w:rsidR="00926C09" w:rsidRDefault="00BF4CDB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Bilješka broj 4 – Izvanbilanična evidencija</w:t>
      </w:r>
    </w:p>
    <w:p w14:paraId="78F058B0" w14:textId="0645CBCA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Izvanbilanična evidencija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iznosi </w:t>
      </w:r>
      <w:r w:rsidR="00BF4CDB">
        <w:rPr>
          <w:rFonts w:ascii="Times New Roman" w:hAnsi="Times New Roman" w:cs="Times New Roman"/>
          <w:color w:val="000000" w:themeColor="text1"/>
          <w:sz w:val="24"/>
          <w:szCs w:val="24"/>
        </w:rPr>
        <w:t>2.841.376,44 kn.</w:t>
      </w:r>
    </w:p>
    <w:p w14:paraId="37CB3B0E" w14:textId="77777777" w:rsidR="00BF4CDB" w:rsidRDefault="00BF4CDB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4FFF13" w14:textId="77777777" w:rsidR="00CC2E09" w:rsidRDefault="00CC2E09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F93261" w14:textId="77777777" w:rsidR="00CC2E09" w:rsidRDefault="00CC2E09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875FA2" w14:textId="121D3946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BF4C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ilješka broj 5 – Obvezne bilješke</w:t>
      </w:r>
    </w:p>
    <w:p w14:paraId="5F6CA1E4" w14:textId="77777777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Obvezne bilješke uz bilancu su:</w:t>
      </w:r>
    </w:p>
    <w:p w14:paraId="658B9213" w14:textId="77777777" w:rsidR="00926C09" w:rsidRPr="0093165F" w:rsidRDefault="00926C09" w:rsidP="00926C09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Popis ugovornih odnosa i slično koji uz ispunjenje određenih uvjeta, mogu postati</w:t>
      </w:r>
    </w:p>
    <w:p w14:paraId="366FD279" w14:textId="77777777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color w:val="000000" w:themeColor="text1"/>
          <w:sz w:val="24"/>
          <w:szCs w:val="24"/>
        </w:rPr>
        <w:t>obveza ili imovina (dana kreditna pisma, hipoteke i slično) – Tablica 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Tablica 2.</w:t>
      </w:r>
    </w:p>
    <w:p w14:paraId="7AEA3130" w14:textId="77777777" w:rsidR="00926C09" w:rsidRDefault="00926C09" w:rsidP="00926C09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Popis sudskih sporova u tijeku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Tablica 3.</w:t>
      </w:r>
    </w:p>
    <w:p w14:paraId="056DF85A" w14:textId="15C1EE24" w:rsidR="00926C09" w:rsidRDefault="00926C09" w:rsidP="00926C09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D99D64" w14:textId="77777777" w:rsidR="00FF349A" w:rsidRDefault="00FF349A" w:rsidP="00926C09">
      <w:pPr>
        <w:pStyle w:val="Odlomakpopisa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DD3630" w14:textId="77777777" w:rsidR="00926C09" w:rsidRPr="00991224" w:rsidRDefault="00926C09" w:rsidP="00926C0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912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Tablica 1. Primljena jamstva</w:t>
      </w:r>
    </w:p>
    <w:tbl>
      <w:tblPr>
        <w:tblStyle w:val="TableGrid1"/>
        <w:tblW w:w="9288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19"/>
        <w:gridCol w:w="1290"/>
        <w:gridCol w:w="1258"/>
        <w:gridCol w:w="1745"/>
        <w:gridCol w:w="1052"/>
        <w:gridCol w:w="1156"/>
      </w:tblGrid>
      <w:tr w:rsidR="00ED1595" w:rsidRPr="00ED1595" w14:paraId="1216A15E" w14:textId="77777777" w:rsidTr="00744AE6">
        <w:tc>
          <w:tcPr>
            <w:tcW w:w="534" w:type="dxa"/>
          </w:tcPr>
          <w:p w14:paraId="33A4924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B8CF2A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134" w:type="dxa"/>
          </w:tcPr>
          <w:p w14:paraId="7944EAD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3F250E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Datum početka</w:t>
            </w:r>
          </w:p>
          <w:p w14:paraId="6217D36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jamstva</w:t>
            </w:r>
          </w:p>
        </w:tc>
        <w:tc>
          <w:tcPr>
            <w:tcW w:w="1119" w:type="dxa"/>
          </w:tcPr>
          <w:p w14:paraId="471572C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CE01E4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Instrument osiguranja</w:t>
            </w:r>
          </w:p>
        </w:tc>
        <w:tc>
          <w:tcPr>
            <w:tcW w:w="1290" w:type="dxa"/>
          </w:tcPr>
          <w:p w14:paraId="5CF613D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Iznos primljenog jamstva (u kn)</w:t>
            </w:r>
          </w:p>
        </w:tc>
        <w:tc>
          <w:tcPr>
            <w:tcW w:w="1258" w:type="dxa"/>
          </w:tcPr>
          <w:p w14:paraId="6763B94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7C6DB8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E015D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Davatelj jamstva</w:t>
            </w:r>
          </w:p>
        </w:tc>
        <w:tc>
          <w:tcPr>
            <w:tcW w:w="1745" w:type="dxa"/>
          </w:tcPr>
          <w:p w14:paraId="09B1DC0E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753B27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0F3687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Namjena</w:t>
            </w:r>
          </w:p>
        </w:tc>
        <w:tc>
          <w:tcPr>
            <w:tcW w:w="1052" w:type="dxa"/>
          </w:tcPr>
          <w:p w14:paraId="04FB44C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68AF5F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C0BC76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156" w:type="dxa"/>
          </w:tcPr>
          <w:p w14:paraId="3AEC66E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3441C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1CD0A7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Rok važenja</w:t>
            </w:r>
          </w:p>
        </w:tc>
      </w:tr>
      <w:tr w:rsidR="00ED1595" w:rsidRPr="00ED1595" w14:paraId="72690D76" w14:textId="77777777" w:rsidTr="00744AE6">
        <w:tc>
          <w:tcPr>
            <w:tcW w:w="534" w:type="dxa"/>
          </w:tcPr>
          <w:p w14:paraId="2EF15917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BF393B4" w14:textId="172917C2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4A76641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B92F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A71CCD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1.8.2019.</w:t>
            </w:r>
          </w:p>
        </w:tc>
        <w:tc>
          <w:tcPr>
            <w:tcW w:w="1119" w:type="dxa"/>
          </w:tcPr>
          <w:p w14:paraId="7ACB6BE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68F67D9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33DD90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5.000,00 kn</w:t>
            </w:r>
          </w:p>
        </w:tc>
        <w:tc>
          <w:tcPr>
            <w:tcW w:w="1258" w:type="dxa"/>
          </w:tcPr>
          <w:p w14:paraId="06BB0DE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111FBA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Gavranović d.o.o.</w:t>
            </w:r>
          </w:p>
        </w:tc>
        <w:tc>
          <w:tcPr>
            <w:tcW w:w="1745" w:type="dxa"/>
          </w:tcPr>
          <w:p w14:paraId="39F075E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Osiguranje za redovno podmirenje zakupnine</w:t>
            </w:r>
          </w:p>
        </w:tc>
        <w:tc>
          <w:tcPr>
            <w:tcW w:w="1052" w:type="dxa"/>
          </w:tcPr>
          <w:p w14:paraId="58E92F1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4C1247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00A15E5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9AC4F3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1.8.2024.</w:t>
            </w:r>
          </w:p>
        </w:tc>
      </w:tr>
      <w:tr w:rsidR="00ED1595" w:rsidRPr="00ED1595" w14:paraId="0E70B27D" w14:textId="77777777" w:rsidTr="00744AE6">
        <w:tc>
          <w:tcPr>
            <w:tcW w:w="534" w:type="dxa"/>
          </w:tcPr>
          <w:p w14:paraId="43364A8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4D6BF3E" w14:textId="59A3904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0D7373F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44DF4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E9F5C3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3.10.2019.</w:t>
            </w:r>
          </w:p>
        </w:tc>
        <w:tc>
          <w:tcPr>
            <w:tcW w:w="1119" w:type="dxa"/>
          </w:tcPr>
          <w:p w14:paraId="72A163E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3482582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77BC14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5.000,00 kn</w:t>
            </w:r>
          </w:p>
        </w:tc>
        <w:tc>
          <w:tcPr>
            <w:tcW w:w="1258" w:type="dxa"/>
          </w:tcPr>
          <w:p w14:paraId="31B2B21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KALA, obrt za cvjećarsko-aranžerske usluge</w:t>
            </w:r>
          </w:p>
        </w:tc>
        <w:tc>
          <w:tcPr>
            <w:tcW w:w="1745" w:type="dxa"/>
          </w:tcPr>
          <w:p w14:paraId="2F66C20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Osiguranje za redovno podmirenje zakupnine</w:t>
            </w:r>
          </w:p>
        </w:tc>
        <w:tc>
          <w:tcPr>
            <w:tcW w:w="1052" w:type="dxa"/>
          </w:tcPr>
          <w:p w14:paraId="142F07D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B4CE03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7F430D7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A67E2B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3.10.2024.</w:t>
            </w:r>
          </w:p>
        </w:tc>
      </w:tr>
      <w:tr w:rsidR="00ED1595" w:rsidRPr="00ED1595" w14:paraId="1D7D5D49" w14:textId="77777777" w:rsidTr="00744AE6">
        <w:tc>
          <w:tcPr>
            <w:tcW w:w="534" w:type="dxa"/>
          </w:tcPr>
          <w:p w14:paraId="147C278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A0414EA" w14:textId="055BAA79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09A356C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5279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A0C01FA" w14:textId="3869404F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31.7.2021.</w:t>
            </w:r>
          </w:p>
        </w:tc>
        <w:tc>
          <w:tcPr>
            <w:tcW w:w="1119" w:type="dxa"/>
          </w:tcPr>
          <w:p w14:paraId="29B4A9E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12E7448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zadužnice</w:t>
            </w:r>
          </w:p>
        </w:tc>
        <w:tc>
          <w:tcPr>
            <w:tcW w:w="1290" w:type="dxa"/>
          </w:tcPr>
          <w:p w14:paraId="4D3CFD0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7C3FDC3" w14:textId="58DDF52E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0.000,00 kn</w:t>
            </w:r>
          </w:p>
        </w:tc>
        <w:tc>
          <w:tcPr>
            <w:tcW w:w="1258" w:type="dxa"/>
          </w:tcPr>
          <w:p w14:paraId="74EB043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70DC523" w14:textId="4ED933B2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Arkada d.o.o.</w:t>
            </w:r>
          </w:p>
        </w:tc>
        <w:tc>
          <w:tcPr>
            <w:tcW w:w="1745" w:type="dxa"/>
          </w:tcPr>
          <w:p w14:paraId="6650C60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za jamstveni period</w:t>
            </w:r>
          </w:p>
        </w:tc>
        <w:tc>
          <w:tcPr>
            <w:tcW w:w="1052" w:type="dxa"/>
          </w:tcPr>
          <w:p w14:paraId="43C9CD3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FD191B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15CEF25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32DE0D" w14:textId="277E74CE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31.7.2023.</w:t>
            </w:r>
          </w:p>
        </w:tc>
      </w:tr>
      <w:tr w:rsidR="00ED1595" w:rsidRPr="00ED1595" w14:paraId="3C4713F6" w14:textId="77777777" w:rsidTr="00744AE6">
        <w:tc>
          <w:tcPr>
            <w:tcW w:w="534" w:type="dxa"/>
          </w:tcPr>
          <w:p w14:paraId="6D7074B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E3A56FE" w14:textId="3DCE6D00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4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6F27FEE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AB95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554F4C7" w14:textId="5BF327D2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11.3.2022.</w:t>
            </w:r>
          </w:p>
        </w:tc>
        <w:tc>
          <w:tcPr>
            <w:tcW w:w="1119" w:type="dxa"/>
          </w:tcPr>
          <w:p w14:paraId="373F5CB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</w:tc>
        <w:tc>
          <w:tcPr>
            <w:tcW w:w="1290" w:type="dxa"/>
          </w:tcPr>
          <w:p w14:paraId="14D4E44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6470F33" w14:textId="5C8232DE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.000,00 kn</w:t>
            </w:r>
          </w:p>
        </w:tc>
        <w:tc>
          <w:tcPr>
            <w:tcW w:w="1258" w:type="dxa"/>
          </w:tcPr>
          <w:p w14:paraId="530FBE72" w14:textId="634C6B83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Pro-art obrt, vl.Mario gojšić</w:t>
            </w:r>
          </w:p>
        </w:tc>
        <w:tc>
          <w:tcPr>
            <w:tcW w:w="1745" w:type="dxa"/>
          </w:tcPr>
          <w:p w14:paraId="1E0A04C4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0165958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125B947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0F41A7D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4D0E0A5" w14:textId="4D1E090E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11.3.2024.</w:t>
            </w:r>
          </w:p>
        </w:tc>
      </w:tr>
      <w:tr w:rsidR="00ED1595" w:rsidRPr="00ED1595" w14:paraId="2C48A679" w14:textId="77777777" w:rsidTr="00744AE6">
        <w:tc>
          <w:tcPr>
            <w:tcW w:w="534" w:type="dxa"/>
          </w:tcPr>
          <w:p w14:paraId="0DD5A9D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8E0B4E1" w14:textId="171639BB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5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3F88028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64A1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AE4312A" w14:textId="56B0DF94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1.5.2022.</w:t>
            </w:r>
          </w:p>
        </w:tc>
        <w:tc>
          <w:tcPr>
            <w:tcW w:w="1119" w:type="dxa"/>
          </w:tcPr>
          <w:p w14:paraId="5F3EDA91" w14:textId="32DC51CA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0953E35E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24635D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50.000,00 kn</w:t>
            </w:r>
          </w:p>
        </w:tc>
        <w:tc>
          <w:tcPr>
            <w:tcW w:w="1258" w:type="dxa"/>
          </w:tcPr>
          <w:p w14:paraId="0A8C1E6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C77DA65" w14:textId="63A9D4D4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Hep opskrba 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d.o.o.</w:t>
            </w:r>
          </w:p>
        </w:tc>
        <w:tc>
          <w:tcPr>
            <w:tcW w:w="1745" w:type="dxa"/>
          </w:tcPr>
          <w:p w14:paraId="5D022144" w14:textId="6B44941A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za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ispunjenje ugovora</w:t>
            </w:r>
          </w:p>
        </w:tc>
        <w:tc>
          <w:tcPr>
            <w:tcW w:w="1052" w:type="dxa"/>
          </w:tcPr>
          <w:p w14:paraId="35C31FF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9AE470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4DE6F05E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FA01B6B" w14:textId="3766226F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01.05.2023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</w:tr>
      <w:tr w:rsidR="00744AE6" w:rsidRPr="00ED1595" w14:paraId="5818CB8D" w14:textId="77777777" w:rsidTr="00744AE6">
        <w:tc>
          <w:tcPr>
            <w:tcW w:w="534" w:type="dxa"/>
          </w:tcPr>
          <w:p w14:paraId="4A45BDF5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09542C2" w14:textId="292EF5C1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6.</w:t>
            </w:r>
          </w:p>
          <w:p w14:paraId="03F7F3A9" w14:textId="77777777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C44D1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A4B5F8D" w14:textId="0996A889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18.7.2022.</w:t>
            </w:r>
          </w:p>
        </w:tc>
        <w:tc>
          <w:tcPr>
            <w:tcW w:w="1119" w:type="dxa"/>
          </w:tcPr>
          <w:p w14:paraId="189D972A" w14:textId="01A28C1F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53E63809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0BCF228" w14:textId="420082A5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10.000,00</w:t>
            </w:r>
          </w:p>
        </w:tc>
        <w:tc>
          <w:tcPr>
            <w:tcW w:w="1258" w:type="dxa"/>
          </w:tcPr>
          <w:p w14:paraId="1BA2E8D0" w14:textId="28A0BCEC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Elektrousluge Kostelac</w:t>
            </w:r>
          </w:p>
        </w:tc>
        <w:tc>
          <w:tcPr>
            <w:tcW w:w="1745" w:type="dxa"/>
          </w:tcPr>
          <w:p w14:paraId="53CA25D7" w14:textId="57DB02E2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za</w:t>
            </w:r>
            <w:r>
              <w:rPr>
                <w:rFonts w:ascii="Calibri" w:hAnsi="Calibri" w:cs="Times New Roman"/>
                <w:sz w:val="16"/>
                <w:szCs w:val="16"/>
              </w:rPr>
              <w:t xml:space="preserve"> ispunjenje ugovora</w:t>
            </w:r>
          </w:p>
        </w:tc>
        <w:tc>
          <w:tcPr>
            <w:tcW w:w="1052" w:type="dxa"/>
          </w:tcPr>
          <w:p w14:paraId="080A7D09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D1A7E61" w14:textId="156B6916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54AB27EA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C6EF779" w14:textId="45271B51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18.7.2024.</w:t>
            </w:r>
          </w:p>
        </w:tc>
      </w:tr>
      <w:tr w:rsidR="00ED1595" w:rsidRPr="00ED1595" w14:paraId="28C841F5" w14:textId="77777777" w:rsidTr="00744AE6">
        <w:tc>
          <w:tcPr>
            <w:tcW w:w="534" w:type="dxa"/>
          </w:tcPr>
          <w:p w14:paraId="7A27382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DA3672C" w14:textId="78A11B45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7</w:t>
            </w:r>
            <w:r w:rsidR="00ED1595"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10B9E5D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24CCE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139586C" w14:textId="05A2348A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4.11.2022.</w:t>
            </w:r>
          </w:p>
        </w:tc>
        <w:tc>
          <w:tcPr>
            <w:tcW w:w="1119" w:type="dxa"/>
          </w:tcPr>
          <w:p w14:paraId="5001FC0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 zadužnice</w:t>
            </w:r>
          </w:p>
        </w:tc>
        <w:tc>
          <w:tcPr>
            <w:tcW w:w="1290" w:type="dxa"/>
          </w:tcPr>
          <w:p w14:paraId="772F703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1F1B51D" w14:textId="65F8A5DB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100</w:t>
            </w:r>
            <w:r w:rsidR="00ED1595" w:rsidRPr="00ED1595">
              <w:rPr>
                <w:rFonts w:ascii="Calibri" w:hAnsi="Calibri" w:cs="Times New Roman"/>
                <w:sz w:val="16"/>
                <w:szCs w:val="16"/>
              </w:rPr>
              <w:t>.000,00 kn</w:t>
            </w:r>
          </w:p>
        </w:tc>
        <w:tc>
          <w:tcPr>
            <w:tcW w:w="1258" w:type="dxa"/>
          </w:tcPr>
          <w:p w14:paraId="60BE1B8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833364D" w14:textId="0CA119E2" w:rsidR="00ED1595" w:rsidRPr="00ED1595" w:rsidRDefault="00744AE6" w:rsidP="007B25EF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  <w:r w:rsidR="00ED1595" w:rsidRPr="00ED1595">
              <w:rPr>
                <w:rFonts w:ascii="Calibri" w:hAnsi="Calibri" w:cs="Times New Roman"/>
                <w:sz w:val="16"/>
                <w:szCs w:val="16"/>
              </w:rPr>
              <w:t xml:space="preserve"> d.</w:t>
            </w:r>
            <w:r w:rsidR="007B25EF">
              <w:rPr>
                <w:rFonts w:ascii="Calibri" w:hAnsi="Calibri" w:cs="Times New Roman"/>
                <w:sz w:val="16"/>
                <w:szCs w:val="16"/>
              </w:rPr>
              <w:t>d.</w:t>
            </w:r>
          </w:p>
        </w:tc>
        <w:tc>
          <w:tcPr>
            <w:tcW w:w="1745" w:type="dxa"/>
          </w:tcPr>
          <w:p w14:paraId="5FB7188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0E345334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8689DC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307A85E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76F02B8" w14:textId="49248D19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04.11.2024.</w:t>
            </w:r>
          </w:p>
        </w:tc>
      </w:tr>
      <w:tr w:rsidR="00744AE6" w:rsidRPr="00ED1595" w14:paraId="65B8FC09" w14:textId="77777777" w:rsidTr="00744AE6">
        <w:tc>
          <w:tcPr>
            <w:tcW w:w="534" w:type="dxa"/>
          </w:tcPr>
          <w:p w14:paraId="04A9C34F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FB65F99" w14:textId="21FC6650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8.</w:t>
            </w:r>
          </w:p>
          <w:p w14:paraId="15ED72BC" w14:textId="77777777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F536D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157522A" w14:textId="59F04880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7.11.2022.</w:t>
            </w:r>
          </w:p>
        </w:tc>
        <w:tc>
          <w:tcPr>
            <w:tcW w:w="1119" w:type="dxa"/>
          </w:tcPr>
          <w:p w14:paraId="74442625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DF7F41F" w14:textId="712A7ED5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Uplata</w:t>
            </w:r>
          </w:p>
        </w:tc>
        <w:tc>
          <w:tcPr>
            <w:tcW w:w="1290" w:type="dxa"/>
          </w:tcPr>
          <w:p w14:paraId="75785572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C5CFB17" w14:textId="2472E7EF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14.070,00 kn</w:t>
            </w:r>
          </w:p>
        </w:tc>
        <w:tc>
          <w:tcPr>
            <w:tcW w:w="1258" w:type="dxa"/>
          </w:tcPr>
          <w:p w14:paraId="264FEC12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619732E" w14:textId="63203FAF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Carpinus d.o.o.</w:t>
            </w:r>
          </w:p>
        </w:tc>
        <w:tc>
          <w:tcPr>
            <w:tcW w:w="1745" w:type="dxa"/>
          </w:tcPr>
          <w:p w14:paraId="39646CAD" w14:textId="33B915FA" w:rsidR="00744AE6" w:rsidRPr="00ED1595" w:rsidRDefault="00744AE6" w:rsidP="00744AE6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 Jamstvo za ozbiljnost ponude</w:t>
            </w:r>
          </w:p>
        </w:tc>
        <w:tc>
          <w:tcPr>
            <w:tcW w:w="1052" w:type="dxa"/>
          </w:tcPr>
          <w:p w14:paraId="5BFDE1A8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CA9EED4" w14:textId="35C6D7CD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Postupak JN</w:t>
            </w:r>
          </w:p>
        </w:tc>
        <w:tc>
          <w:tcPr>
            <w:tcW w:w="1156" w:type="dxa"/>
          </w:tcPr>
          <w:p w14:paraId="7E3C2DE1" w14:textId="77777777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744AE6" w:rsidRPr="00ED1595" w14:paraId="576C733B" w14:textId="77777777" w:rsidTr="00744AE6">
        <w:tc>
          <w:tcPr>
            <w:tcW w:w="534" w:type="dxa"/>
          </w:tcPr>
          <w:p w14:paraId="768D82E9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DE414BD" w14:textId="6AEDC1C2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9.</w:t>
            </w:r>
          </w:p>
          <w:p w14:paraId="41956697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A3069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B8D75F7" w14:textId="71C02B25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7.11.2022.</w:t>
            </w:r>
          </w:p>
        </w:tc>
        <w:tc>
          <w:tcPr>
            <w:tcW w:w="1119" w:type="dxa"/>
          </w:tcPr>
          <w:p w14:paraId="0650A3A6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CF346AB" w14:textId="5EA2CAEE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Uplata</w:t>
            </w:r>
          </w:p>
        </w:tc>
        <w:tc>
          <w:tcPr>
            <w:tcW w:w="1290" w:type="dxa"/>
          </w:tcPr>
          <w:p w14:paraId="6738767E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BEAE1F7" w14:textId="7C26A23A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14.070,00 kn</w:t>
            </w:r>
          </w:p>
        </w:tc>
        <w:tc>
          <w:tcPr>
            <w:tcW w:w="1258" w:type="dxa"/>
          </w:tcPr>
          <w:p w14:paraId="673811E9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CEBA463" w14:textId="6D1402B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Invent oprema d.o.o.</w:t>
            </w:r>
          </w:p>
        </w:tc>
        <w:tc>
          <w:tcPr>
            <w:tcW w:w="1745" w:type="dxa"/>
          </w:tcPr>
          <w:p w14:paraId="370E33C5" w14:textId="5E8CD616" w:rsidR="00744AE6" w:rsidRPr="00ED1595" w:rsidRDefault="00744AE6" w:rsidP="00744AE6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ozbiljnost ponude</w:t>
            </w:r>
          </w:p>
        </w:tc>
        <w:tc>
          <w:tcPr>
            <w:tcW w:w="1052" w:type="dxa"/>
          </w:tcPr>
          <w:p w14:paraId="2851B149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6E4E32F" w14:textId="610B00E1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Postupak JN</w:t>
            </w:r>
          </w:p>
        </w:tc>
        <w:tc>
          <w:tcPr>
            <w:tcW w:w="1156" w:type="dxa"/>
          </w:tcPr>
          <w:p w14:paraId="05EC5B05" w14:textId="77777777" w:rsidR="00744AE6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ED1595" w:rsidRPr="00ED1595" w14:paraId="16C0CC58" w14:textId="77777777" w:rsidTr="00744AE6">
        <w:tc>
          <w:tcPr>
            <w:tcW w:w="534" w:type="dxa"/>
          </w:tcPr>
          <w:p w14:paraId="25972A2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339AF7B" w14:textId="30F4D29A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10</w:t>
            </w:r>
            <w:r w:rsidR="00ED1595"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470DBED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E86E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6696AF6" w14:textId="031A61D8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15.11.2022.</w:t>
            </w:r>
          </w:p>
        </w:tc>
        <w:tc>
          <w:tcPr>
            <w:tcW w:w="1119" w:type="dxa"/>
          </w:tcPr>
          <w:p w14:paraId="553937B5" w14:textId="70898CB1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Bankarska garancija</w:t>
            </w:r>
          </w:p>
        </w:tc>
        <w:tc>
          <w:tcPr>
            <w:tcW w:w="1290" w:type="dxa"/>
          </w:tcPr>
          <w:p w14:paraId="0F1AFA84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90952AD" w14:textId="333C1AB7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74.790,00</w:t>
            </w:r>
            <w:r w:rsidR="00ED1595" w:rsidRPr="00ED1595">
              <w:rPr>
                <w:rFonts w:ascii="Calibri" w:hAnsi="Calibri" w:cs="Times New Roman"/>
                <w:sz w:val="16"/>
                <w:szCs w:val="16"/>
              </w:rPr>
              <w:t xml:space="preserve"> kn</w:t>
            </w:r>
          </w:p>
        </w:tc>
        <w:tc>
          <w:tcPr>
            <w:tcW w:w="1258" w:type="dxa"/>
          </w:tcPr>
          <w:p w14:paraId="5FC37C9E" w14:textId="77777777" w:rsidR="00744AE6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5B57D95" w14:textId="6990A538" w:rsidR="00ED1595" w:rsidRPr="00ED1595" w:rsidRDefault="00744AE6" w:rsidP="00744AE6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Gips-mont </w:t>
            </w:r>
          </w:p>
        </w:tc>
        <w:tc>
          <w:tcPr>
            <w:tcW w:w="1745" w:type="dxa"/>
          </w:tcPr>
          <w:p w14:paraId="6E9F8296" w14:textId="061A234C" w:rsidR="00ED1595" w:rsidRPr="00ED1595" w:rsidRDefault="00ED1595" w:rsidP="00744AE6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Jamstvo </w:t>
            </w:r>
            <w:r w:rsidR="00744AE6">
              <w:rPr>
                <w:rFonts w:ascii="Calibri" w:hAnsi="Calibri" w:cs="Times New Roman"/>
                <w:sz w:val="16"/>
                <w:szCs w:val="16"/>
              </w:rPr>
              <w:t xml:space="preserve"> za ozbiljnost ponude</w:t>
            </w:r>
          </w:p>
        </w:tc>
        <w:tc>
          <w:tcPr>
            <w:tcW w:w="1052" w:type="dxa"/>
          </w:tcPr>
          <w:p w14:paraId="78619CF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3CEAB7B" w14:textId="36E8B8E9" w:rsidR="00ED1595" w:rsidRPr="00ED1595" w:rsidRDefault="00744AE6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Postupak JN</w:t>
            </w:r>
          </w:p>
        </w:tc>
        <w:tc>
          <w:tcPr>
            <w:tcW w:w="1156" w:type="dxa"/>
          </w:tcPr>
          <w:p w14:paraId="3A95771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3073674" w14:textId="4218F99C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744AE6" w:rsidRPr="00ED1595" w14:paraId="6C247965" w14:textId="77777777" w:rsidTr="00744AE6">
        <w:tc>
          <w:tcPr>
            <w:tcW w:w="534" w:type="dxa"/>
          </w:tcPr>
          <w:p w14:paraId="5419A752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734E7BA" w14:textId="25A0FA1F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11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  <w:p w14:paraId="43AABCD6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B37BC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735E08B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15.11.2022.</w:t>
            </w:r>
          </w:p>
        </w:tc>
        <w:tc>
          <w:tcPr>
            <w:tcW w:w="1119" w:type="dxa"/>
          </w:tcPr>
          <w:p w14:paraId="08F405A6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Bankarska garancija</w:t>
            </w:r>
          </w:p>
        </w:tc>
        <w:tc>
          <w:tcPr>
            <w:tcW w:w="1290" w:type="dxa"/>
          </w:tcPr>
          <w:p w14:paraId="148959EB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44B5114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74.790,00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kn</w:t>
            </w:r>
          </w:p>
        </w:tc>
        <w:tc>
          <w:tcPr>
            <w:tcW w:w="1258" w:type="dxa"/>
          </w:tcPr>
          <w:p w14:paraId="08725BC3" w14:textId="77777777" w:rsidR="00744AE6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637061B" w14:textId="3A7B06F4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Kolos d.o.o. </w:t>
            </w:r>
          </w:p>
        </w:tc>
        <w:tc>
          <w:tcPr>
            <w:tcW w:w="1745" w:type="dxa"/>
          </w:tcPr>
          <w:p w14:paraId="27F2117A" w14:textId="37974AAF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ozbiljnost ponude</w:t>
            </w:r>
          </w:p>
        </w:tc>
        <w:tc>
          <w:tcPr>
            <w:tcW w:w="1052" w:type="dxa"/>
          </w:tcPr>
          <w:p w14:paraId="0C953CBB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4478961" w14:textId="45CEE1FB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Postupak JN</w:t>
            </w:r>
          </w:p>
        </w:tc>
        <w:tc>
          <w:tcPr>
            <w:tcW w:w="1156" w:type="dxa"/>
          </w:tcPr>
          <w:p w14:paraId="576E37F6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A65BD85" w14:textId="532CADF0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tr w:rsidR="00744AE6" w:rsidRPr="00ED1595" w14:paraId="70112354" w14:textId="77777777" w:rsidTr="00744AE6">
        <w:tc>
          <w:tcPr>
            <w:tcW w:w="534" w:type="dxa"/>
          </w:tcPr>
          <w:p w14:paraId="6B52D6D1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4080603" w14:textId="70A9E1BB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12.</w:t>
            </w:r>
          </w:p>
          <w:p w14:paraId="22DB851F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EBC8B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0E408DF" w14:textId="4CFCBC02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23.11.2022.</w:t>
            </w:r>
          </w:p>
        </w:tc>
        <w:tc>
          <w:tcPr>
            <w:tcW w:w="1119" w:type="dxa"/>
          </w:tcPr>
          <w:p w14:paraId="37352DD3" w14:textId="2FA39808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0E2BD730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2EB169E" w14:textId="182CADCD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50.000,00 kn</w:t>
            </w:r>
          </w:p>
        </w:tc>
        <w:tc>
          <w:tcPr>
            <w:tcW w:w="1258" w:type="dxa"/>
          </w:tcPr>
          <w:p w14:paraId="4FCF7E7E" w14:textId="77777777" w:rsidR="00744AE6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6349278" w14:textId="23784666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Elektrousluge Kostelac</w:t>
            </w:r>
            <w:r w:rsidR="00744AE6">
              <w:rPr>
                <w:rFonts w:ascii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45" w:type="dxa"/>
          </w:tcPr>
          <w:p w14:paraId="09E3F89D" w14:textId="79D228D4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09C54B8C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0EFE949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3ED594E6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BE0D4E" w14:textId="7F937E3E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23.11.2024.</w:t>
            </w:r>
          </w:p>
        </w:tc>
      </w:tr>
      <w:tr w:rsidR="00744AE6" w:rsidRPr="00ED1595" w14:paraId="206D54B5" w14:textId="77777777" w:rsidTr="00744AE6">
        <w:tc>
          <w:tcPr>
            <w:tcW w:w="534" w:type="dxa"/>
          </w:tcPr>
          <w:p w14:paraId="03676D2E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1D41F81" w14:textId="4CFD62AD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13.</w:t>
            </w:r>
          </w:p>
          <w:p w14:paraId="31C96EA2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5FD5E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5F5C1AF" w14:textId="585EFB4C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21.12.2022.</w:t>
            </w:r>
          </w:p>
        </w:tc>
        <w:tc>
          <w:tcPr>
            <w:tcW w:w="1119" w:type="dxa"/>
          </w:tcPr>
          <w:p w14:paraId="50143BCD" w14:textId="72744CF4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33471086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851B17B" w14:textId="3A752154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50.000,00</w:t>
            </w:r>
            <w:r w:rsidR="00744AE6" w:rsidRPr="00ED1595">
              <w:rPr>
                <w:rFonts w:ascii="Calibri" w:hAnsi="Calibri" w:cs="Times New Roman"/>
                <w:sz w:val="16"/>
                <w:szCs w:val="16"/>
              </w:rPr>
              <w:t xml:space="preserve"> kn</w:t>
            </w:r>
          </w:p>
        </w:tc>
        <w:tc>
          <w:tcPr>
            <w:tcW w:w="1258" w:type="dxa"/>
          </w:tcPr>
          <w:p w14:paraId="01129C7F" w14:textId="77777777" w:rsidR="00744AE6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20A5B53" w14:textId="731D4CF6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d.</w:t>
            </w:r>
            <w:r>
              <w:rPr>
                <w:rFonts w:ascii="Calibri" w:hAnsi="Calibri" w:cs="Times New Roman"/>
                <w:sz w:val="16"/>
                <w:szCs w:val="16"/>
              </w:rPr>
              <w:t>d.</w:t>
            </w:r>
          </w:p>
        </w:tc>
        <w:tc>
          <w:tcPr>
            <w:tcW w:w="1745" w:type="dxa"/>
          </w:tcPr>
          <w:p w14:paraId="225E58EB" w14:textId="1542B4D9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1886058B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688F54A0" w14:textId="77777777" w:rsidR="00744AE6" w:rsidRPr="00ED1595" w:rsidRDefault="00744AE6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4D6D8EF6" w14:textId="77777777" w:rsidR="007B25EF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5E43FB9" w14:textId="2CA19212" w:rsidR="00744AE6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21.12.2024</w:t>
            </w:r>
            <w:r w:rsidR="00744AE6"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</w:tr>
      <w:tr w:rsidR="007B25EF" w:rsidRPr="00ED1595" w14:paraId="1B5E58E1" w14:textId="77777777" w:rsidTr="007B25EF">
        <w:tc>
          <w:tcPr>
            <w:tcW w:w="534" w:type="dxa"/>
          </w:tcPr>
          <w:p w14:paraId="72340606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0D7F80F" w14:textId="40674035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14.</w:t>
            </w:r>
          </w:p>
          <w:p w14:paraId="0854363D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B16D05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EB02EC3" w14:textId="51F0940E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28.12.2022.</w:t>
            </w:r>
          </w:p>
        </w:tc>
        <w:tc>
          <w:tcPr>
            <w:tcW w:w="1119" w:type="dxa"/>
          </w:tcPr>
          <w:p w14:paraId="37FEAF6E" w14:textId="1FA923EC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409CD877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C292E56" w14:textId="367782D0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20.000,00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kn</w:t>
            </w:r>
          </w:p>
        </w:tc>
        <w:tc>
          <w:tcPr>
            <w:tcW w:w="1258" w:type="dxa"/>
          </w:tcPr>
          <w:p w14:paraId="32E382AB" w14:textId="77777777" w:rsidR="007B25EF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D18A366" w14:textId="461E6A82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Ceste Karlovac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d.</w:t>
            </w:r>
            <w:r>
              <w:rPr>
                <w:rFonts w:ascii="Calibri" w:hAnsi="Calibri" w:cs="Times New Roman"/>
                <w:sz w:val="16"/>
                <w:szCs w:val="16"/>
              </w:rPr>
              <w:t>d.</w:t>
            </w:r>
          </w:p>
        </w:tc>
        <w:tc>
          <w:tcPr>
            <w:tcW w:w="1745" w:type="dxa"/>
          </w:tcPr>
          <w:p w14:paraId="1541729F" w14:textId="110CDFB7" w:rsidR="007B25EF" w:rsidRPr="00ED1595" w:rsidRDefault="007B25EF" w:rsidP="007B25EF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0AD70D30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721B297" w14:textId="428C7E7F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62CD47FC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84F7592" w14:textId="7F1245B6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28.12.2024.</w:t>
            </w:r>
          </w:p>
        </w:tc>
      </w:tr>
      <w:tr w:rsidR="007B25EF" w:rsidRPr="00ED1595" w14:paraId="355A6B7B" w14:textId="77777777" w:rsidTr="007B25EF">
        <w:tc>
          <w:tcPr>
            <w:tcW w:w="534" w:type="dxa"/>
          </w:tcPr>
          <w:p w14:paraId="0D846684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B5D80F7" w14:textId="12A9EE0D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15.</w:t>
            </w:r>
          </w:p>
          <w:p w14:paraId="3D29413F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8EC98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B5973D6" w14:textId="156CAF23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29.12.2022.</w:t>
            </w:r>
          </w:p>
        </w:tc>
        <w:tc>
          <w:tcPr>
            <w:tcW w:w="1119" w:type="dxa"/>
          </w:tcPr>
          <w:p w14:paraId="71BDB2E1" w14:textId="402269FA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Bjanko zadužnica</w:t>
            </w:r>
          </w:p>
        </w:tc>
        <w:tc>
          <w:tcPr>
            <w:tcW w:w="1290" w:type="dxa"/>
          </w:tcPr>
          <w:p w14:paraId="15844F49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FE26C94" w14:textId="7CC46553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50.000,00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kn</w:t>
            </w:r>
          </w:p>
        </w:tc>
        <w:tc>
          <w:tcPr>
            <w:tcW w:w="1258" w:type="dxa"/>
          </w:tcPr>
          <w:p w14:paraId="2E3CEF92" w14:textId="77777777" w:rsidR="007B25EF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B3D3E99" w14:textId="7B0948DB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Soboslikarski obrt Muže</w:t>
            </w:r>
          </w:p>
        </w:tc>
        <w:tc>
          <w:tcPr>
            <w:tcW w:w="1745" w:type="dxa"/>
          </w:tcPr>
          <w:p w14:paraId="5797610D" w14:textId="41A7F721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color w:val="FF0000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Jamstvo za jamstveni rok</w:t>
            </w:r>
          </w:p>
        </w:tc>
        <w:tc>
          <w:tcPr>
            <w:tcW w:w="1052" w:type="dxa"/>
          </w:tcPr>
          <w:p w14:paraId="65731805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B6D7207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00BC33D7" w14:textId="77777777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F1D628C" w14:textId="3A313CB8" w:rsidR="007B25EF" w:rsidRPr="00ED1595" w:rsidRDefault="007B25EF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29.12.2024.</w:t>
            </w:r>
          </w:p>
        </w:tc>
      </w:tr>
    </w:tbl>
    <w:p w14:paraId="2EDF92A7" w14:textId="77777777" w:rsidR="0050503E" w:rsidRDefault="0050503E" w:rsidP="00926C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8F3C9D" w14:textId="77777777" w:rsidR="00926C09" w:rsidRPr="00991224" w:rsidRDefault="00926C09" w:rsidP="00926C09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2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Tablica 2. Dana jamstva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19"/>
        <w:gridCol w:w="1075"/>
        <w:gridCol w:w="1473"/>
        <w:gridCol w:w="1745"/>
        <w:gridCol w:w="1052"/>
        <w:gridCol w:w="1156"/>
      </w:tblGrid>
      <w:tr w:rsidR="00ED1595" w:rsidRPr="00ED1595" w14:paraId="2D9A483E" w14:textId="77777777" w:rsidTr="0076474A">
        <w:tc>
          <w:tcPr>
            <w:tcW w:w="392" w:type="dxa"/>
          </w:tcPr>
          <w:p w14:paraId="41D4DB5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DEEA6DE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276" w:type="dxa"/>
          </w:tcPr>
          <w:p w14:paraId="6784507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A0FB97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Broj</w:t>
            </w:r>
          </w:p>
        </w:tc>
        <w:tc>
          <w:tcPr>
            <w:tcW w:w="1119" w:type="dxa"/>
          </w:tcPr>
          <w:p w14:paraId="284A50E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60ED63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Instrument osiguranja</w:t>
            </w:r>
          </w:p>
        </w:tc>
        <w:tc>
          <w:tcPr>
            <w:tcW w:w="1075" w:type="dxa"/>
          </w:tcPr>
          <w:p w14:paraId="423C87B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Iznos danog jamstva (u kn)</w:t>
            </w:r>
          </w:p>
        </w:tc>
        <w:tc>
          <w:tcPr>
            <w:tcW w:w="1473" w:type="dxa"/>
          </w:tcPr>
          <w:p w14:paraId="273071B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88776B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Primatelj jamstva</w:t>
            </w:r>
          </w:p>
        </w:tc>
        <w:tc>
          <w:tcPr>
            <w:tcW w:w="1745" w:type="dxa"/>
          </w:tcPr>
          <w:p w14:paraId="4FE1056B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699BEA7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333CBE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Namjena</w:t>
            </w:r>
          </w:p>
        </w:tc>
        <w:tc>
          <w:tcPr>
            <w:tcW w:w="1052" w:type="dxa"/>
          </w:tcPr>
          <w:p w14:paraId="052268D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41BABC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499142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Dokument</w:t>
            </w:r>
          </w:p>
        </w:tc>
        <w:tc>
          <w:tcPr>
            <w:tcW w:w="1156" w:type="dxa"/>
          </w:tcPr>
          <w:p w14:paraId="7FA724D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A3D0B9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F1B43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Rok važenja</w:t>
            </w:r>
          </w:p>
        </w:tc>
      </w:tr>
      <w:tr w:rsidR="00ED1595" w:rsidRPr="00ED1595" w14:paraId="1C8F3950" w14:textId="77777777" w:rsidTr="0076474A">
        <w:tc>
          <w:tcPr>
            <w:tcW w:w="392" w:type="dxa"/>
          </w:tcPr>
          <w:p w14:paraId="12D22BD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3E8D59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3656A65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OV-5028/2019</w:t>
            </w:r>
          </w:p>
          <w:p w14:paraId="3538696B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OV-5101/2018</w:t>
            </w:r>
          </w:p>
          <w:p w14:paraId="457BC3E2" w14:textId="77777777" w:rsid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OV-5100/2018</w:t>
            </w:r>
          </w:p>
          <w:p w14:paraId="5030F37B" w14:textId="38167C49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OV-9016/2022</w:t>
            </w:r>
          </w:p>
        </w:tc>
        <w:tc>
          <w:tcPr>
            <w:tcW w:w="1119" w:type="dxa"/>
          </w:tcPr>
          <w:p w14:paraId="00F985B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F8B4A4A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1DADFB6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</w:tc>
        <w:tc>
          <w:tcPr>
            <w:tcW w:w="1075" w:type="dxa"/>
          </w:tcPr>
          <w:p w14:paraId="3692BA3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100.000,00</w:t>
            </w:r>
          </w:p>
          <w:p w14:paraId="35FDDBD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100.000,00</w:t>
            </w:r>
          </w:p>
          <w:p w14:paraId="51AAC56D" w14:textId="77777777" w:rsid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 10.000,00</w:t>
            </w:r>
          </w:p>
          <w:p w14:paraId="66E7B27A" w14:textId="7A707D92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  10.000,00</w:t>
            </w:r>
          </w:p>
        </w:tc>
        <w:tc>
          <w:tcPr>
            <w:tcW w:w="1473" w:type="dxa"/>
          </w:tcPr>
          <w:p w14:paraId="61B6D75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Ministarstvo reg.razvoja i fondova EU</w:t>
            </w:r>
          </w:p>
        </w:tc>
        <w:tc>
          <w:tcPr>
            <w:tcW w:w="1745" w:type="dxa"/>
          </w:tcPr>
          <w:p w14:paraId="3E6F5F4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1A7BFC6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po ugovoru</w:t>
            </w:r>
          </w:p>
        </w:tc>
        <w:tc>
          <w:tcPr>
            <w:tcW w:w="1052" w:type="dxa"/>
          </w:tcPr>
          <w:p w14:paraId="2B74EE9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F2D527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61E8040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CEF1F44" w14:textId="6E18B0BC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13FCC">
              <w:rPr>
                <w:rFonts w:ascii="Calibri" w:hAnsi="Calibri" w:cs="Times New Roman"/>
                <w:sz w:val="16"/>
                <w:szCs w:val="16"/>
              </w:rPr>
              <w:t>31.</w:t>
            </w:r>
            <w:r w:rsidR="00E13FCC" w:rsidRPr="00E13FCC">
              <w:rPr>
                <w:rFonts w:ascii="Calibri" w:hAnsi="Calibri" w:cs="Times New Roman"/>
                <w:sz w:val="16"/>
                <w:szCs w:val="16"/>
              </w:rPr>
              <w:t>12</w:t>
            </w:r>
            <w:r w:rsidRPr="00E13FCC">
              <w:rPr>
                <w:rFonts w:ascii="Calibri" w:hAnsi="Calibri" w:cs="Times New Roman"/>
                <w:sz w:val="16"/>
                <w:szCs w:val="16"/>
              </w:rPr>
              <w:t>.202</w:t>
            </w:r>
            <w:r w:rsidR="00E13FCC" w:rsidRPr="00E13FCC">
              <w:rPr>
                <w:rFonts w:ascii="Calibri" w:hAnsi="Calibri" w:cs="Times New Roman"/>
                <w:sz w:val="16"/>
                <w:szCs w:val="16"/>
              </w:rPr>
              <w:t>4</w:t>
            </w:r>
            <w:r w:rsidRPr="00E13FCC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</w:tr>
      <w:tr w:rsidR="00ED1595" w:rsidRPr="00ED1595" w14:paraId="4A85AC78" w14:textId="77777777" w:rsidTr="0076474A">
        <w:tc>
          <w:tcPr>
            <w:tcW w:w="392" w:type="dxa"/>
          </w:tcPr>
          <w:p w14:paraId="2C791076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B7944C7" w14:textId="0ED0AD28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2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14:paraId="36504BD4" w14:textId="6F9B431F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4179CD12" w14:textId="1844C2E2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OV-</w:t>
            </w:r>
            <w:r>
              <w:rPr>
                <w:rFonts w:ascii="Calibri" w:hAnsi="Calibri" w:cs="Times New Roman"/>
                <w:sz w:val="16"/>
                <w:szCs w:val="16"/>
              </w:rPr>
              <w:t>8337/2019</w:t>
            </w:r>
          </w:p>
          <w:p w14:paraId="78BD0932" w14:textId="7802CDCF" w:rsid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OV-</w:t>
            </w:r>
            <w:r>
              <w:rPr>
                <w:rFonts w:ascii="Calibri" w:hAnsi="Calibri" w:cs="Times New Roman"/>
                <w:sz w:val="16"/>
                <w:szCs w:val="16"/>
              </w:rPr>
              <w:t>4679/2022</w:t>
            </w:r>
          </w:p>
          <w:p w14:paraId="0716C551" w14:textId="326ADEB9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F9C7B89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13BF8B6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Bjanko</w:t>
            </w:r>
          </w:p>
          <w:p w14:paraId="74C10B99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zadužnica</w:t>
            </w:r>
          </w:p>
        </w:tc>
        <w:tc>
          <w:tcPr>
            <w:tcW w:w="1075" w:type="dxa"/>
          </w:tcPr>
          <w:p w14:paraId="1E9E6EF8" w14:textId="77777777" w:rsid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DCF8981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100.000,00</w:t>
            </w:r>
          </w:p>
          <w:p w14:paraId="0DDAEF6F" w14:textId="0BC90BBC" w:rsid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  </w:t>
            </w:r>
            <w:r>
              <w:rPr>
                <w:rFonts w:ascii="Calibri" w:hAnsi="Calibri" w:cs="Times New Roman"/>
                <w:sz w:val="16"/>
                <w:szCs w:val="16"/>
              </w:rPr>
              <w:t>50</w:t>
            </w:r>
            <w:r w:rsidRPr="00ED1595">
              <w:rPr>
                <w:rFonts w:ascii="Calibri" w:hAnsi="Calibri" w:cs="Times New Roman"/>
                <w:sz w:val="16"/>
                <w:szCs w:val="16"/>
              </w:rPr>
              <w:t>.000,00</w:t>
            </w:r>
          </w:p>
          <w:p w14:paraId="23203970" w14:textId="3F13E1CE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73" w:type="dxa"/>
          </w:tcPr>
          <w:p w14:paraId="42EC4FA0" w14:textId="77777777" w:rsid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6483570" w14:textId="7EB782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Karlovačka županija</w:t>
            </w:r>
          </w:p>
        </w:tc>
        <w:tc>
          <w:tcPr>
            <w:tcW w:w="1745" w:type="dxa"/>
          </w:tcPr>
          <w:p w14:paraId="3B36C28F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ED2BC9E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Jamstvo po ugovoru</w:t>
            </w:r>
          </w:p>
        </w:tc>
        <w:tc>
          <w:tcPr>
            <w:tcW w:w="1052" w:type="dxa"/>
          </w:tcPr>
          <w:p w14:paraId="359ADCFB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11C4C06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Ugovor</w:t>
            </w:r>
          </w:p>
        </w:tc>
        <w:tc>
          <w:tcPr>
            <w:tcW w:w="1156" w:type="dxa"/>
          </w:tcPr>
          <w:p w14:paraId="059D368F" w14:textId="77777777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B42BE26" w14:textId="7F5A0E84" w:rsidR="00ED1595" w:rsidRPr="00ED1595" w:rsidRDefault="00ED1595" w:rsidP="0076474A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31.12.2023.</w:t>
            </w:r>
          </w:p>
        </w:tc>
      </w:tr>
    </w:tbl>
    <w:p w14:paraId="1269B706" w14:textId="77777777" w:rsidR="00926C09" w:rsidRDefault="00926C09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Tablica 3. Popis sudskih sporova u tijeku</w:t>
      </w:r>
    </w:p>
    <w:tbl>
      <w:tblPr>
        <w:tblStyle w:val="TableGrid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1843"/>
        <w:gridCol w:w="2977"/>
        <w:gridCol w:w="1701"/>
      </w:tblGrid>
      <w:tr w:rsidR="00ED1595" w:rsidRPr="00ED1595" w14:paraId="2A601046" w14:textId="77777777" w:rsidTr="0076474A">
        <w:tc>
          <w:tcPr>
            <w:tcW w:w="534" w:type="dxa"/>
          </w:tcPr>
          <w:p w14:paraId="49F4D2C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046536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R.B.</w:t>
            </w:r>
          </w:p>
        </w:tc>
        <w:tc>
          <w:tcPr>
            <w:tcW w:w="1134" w:type="dxa"/>
          </w:tcPr>
          <w:p w14:paraId="34F9E0E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1367D0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26821DB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FE7A8FE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Tužitelj</w:t>
            </w:r>
          </w:p>
        </w:tc>
        <w:tc>
          <w:tcPr>
            <w:tcW w:w="1843" w:type="dxa"/>
          </w:tcPr>
          <w:p w14:paraId="754B21B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5E58623C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Tuženik</w:t>
            </w:r>
          </w:p>
        </w:tc>
        <w:tc>
          <w:tcPr>
            <w:tcW w:w="2977" w:type="dxa"/>
          </w:tcPr>
          <w:p w14:paraId="7FBD7707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228C4294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Iznos</w:t>
            </w:r>
          </w:p>
        </w:tc>
        <w:tc>
          <w:tcPr>
            <w:tcW w:w="1701" w:type="dxa"/>
          </w:tcPr>
          <w:p w14:paraId="79E2E52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07D1A2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Status</w:t>
            </w:r>
          </w:p>
        </w:tc>
      </w:tr>
      <w:tr w:rsidR="00ED1595" w:rsidRPr="00ED1595" w14:paraId="65ECB8D6" w14:textId="77777777" w:rsidTr="0076474A">
        <w:trPr>
          <w:trHeight w:val="294"/>
        </w:trPr>
        <w:tc>
          <w:tcPr>
            <w:tcW w:w="534" w:type="dxa"/>
          </w:tcPr>
          <w:p w14:paraId="425D0E5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6FB1ECF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6AD99575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847946D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P-190/20</w:t>
            </w:r>
          </w:p>
        </w:tc>
        <w:tc>
          <w:tcPr>
            <w:tcW w:w="1417" w:type="dxa"/>
          </w:tcPr>
          <w:p w14:paraId="2D15FB3B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3F53D3E9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Općina Draganić</w:t>
            </w:r>
          </w:p>
        </w:tc>
        <w:tc>
          <w:tcPr>
            <w:tcW w:w="1843" w:type="dxa"/>
          </w:tcPr>
          <w:p w14:paraId="0DF56472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1A1B11E1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Karlovačka banka d.d.</w:t>
            </w:r>
          </w:p>
        </w:tc>
        <w:tc>
          <w:tcPr>
            <w:tcW w:w="2977" w:type="dxa"/>
          </w:tcPr>
          <w:p w14:paraId="1B899B83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091FC1F7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>254.568.45 EUR = 1.918.656,44 kn</w:t>
            </w:r>
          </w:p>
        </w:tc>
        <w:tc>
          <w:tcPr>
            <w:tcW w:w="1701" w:type="dxa"/>
          </w:tcPr>
          <w:p w14:paraId="2260DE40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</w:p>
          <w:p w14:paraId="793AF598" w14:textId="77777777" w:rsidR="00ED1595" w:rsidRPr="00ED1595" w:rsidRDefault="00ED1595" w:rsidP="00ED1595">
            <w:pPr>
              <w:spacing w:after="0" w:line="240" w:lineRule="auto"/>
              <w:rPr>
                <w:rFonts w:ascii="Calibri" w:hAnsi="Calibri" w:cs="Times New Roman"/>
                <w:sz w:val="16"/>
                <w:szCs w:val="16"/>
              </w:rPr>
            </w:pPr>
            <w:r w:rsidRPr="00ED1595">
              <w:rPr>
                <w:rFonts w:ascii="Calibri" w:hAnsi="Calibri" w:cs="Times New Roman"/>
                <w:sz w:val="16"/>
                <w:szCs w:val="16"/>
              </w:rPr>
              <w:t xml:space="preserve">U rješavanju </w:t>
            </w:r>
          </w:p>
        </w:tc>
      </w:tr>
    </w:tbl>
    <w:p w14:paraId="7C56B77F" w14:textId="77777777" w:rsidR="00ED1595" w:rsidRDefault="00ED1595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9841F3" w14:textId="77777777" w:rsidR="00ED1595" w:rsidRDefault="00ED1595" w:rsidP="00926C0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0A33F6" w14:textId="77777777" w:rsidR="00507CD2" w:rsidRDefault="00507CD2" w:rsidP="00507C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68A3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14:paraId="2B782B8D" w14:textId="6CC7D7DE" w:rsidR="00507CD2" w:rsidRPr="00F768A3" w:rsidRDefault="00654AED" w:rsidP="00507C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Bilješka broj 1 –RAS funkcijski</w:t>
      </w:r>
    </w:p>
    <w:p w14:paraId="3C2B8921" w14:textId="07BFDB54" w:rsidR="00507CD2" w:rsidRPr="00654AED" w:rsidRDefault="00507CD2" w:rsidP="00507C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AED">
        <w:rPr>
          <w:rFonts w:ascii="Times New Roman" w:hAnsi="Times New Roman" w:cs="Times New Roman"/>
          <w:sz w:val="24"/>
          <w:szCs w:val="24"/>
        </w:rPr>
        <w:t xml:space="preserve">Izvještaj o rashodima po funkcijskoj klasifikaciji </w:t>
      </w:r>
      <w:r w:rsidR="00654AED">
        <w:rPr>
          <w:rFonts w:ascii="Times New Roman" w:hAnsi="Times New Roman" w:cs="Times New Roman"/>
          <w:sz w:val="24"/>
          <w:szCs w:val="24"/>
        </w:rPr>
        <w:t xml:space="preserve">(šifra R1) </w:t>
      </w:r>
      <w:r w:rsidRPr="00654AED">
        <w:rPr>
          <w:rFonts w:ascii="Times New Roman" w:hAnsi="Times New Roman" w:cs="Times New Roman"/>
          <w:sz w:val="24"/>
          <w:szCs w:val="24"/>
        </w:rPr>
        <w:t xml:space="preserve"> popunjen je na temelju ostvarenih rashoda poslovanja i rashoda za nabavu nefinancijske imovine i odgovara </w:t>
      </w:r>
      <w:r w:rsidR="00654AED">
        <w:rPr>
          <w:rFonts w:ascii="Times New Roman" w:hAnsi="Times New Roman" w:cs="Times New Roman"/>
          <w:sz w:val="24"/>
          <w:szCs w:val="24"/>
        </w:rPr>
        <w:t>šifri Y034</w:t>
      </w:r>
      <w:r w:rsidRPr="00654AED">
        <w:rPr>
          <w:rFonts w:ascii="Times New Roman" w:hAnsi="Times New Roman" w:cs="Times New Roman"/>
          <w:sz w:val="24"/>
          <w:szCs w:val="24"/>
        </w:rPr>
        <w:t xml:space="preserve"> Ukupni rashodi iz obrasca PR-RAS koji iznosi  </w:t>
      </w:r>
      <w:r w:rsidR="00654AED">
        <w:rPr>
          <w:rFonts w:ascii="Times New Roman" w:hAnsi="Times New Roman" w:cs="Times New Roman"/>
          <w:sz w:val="24"/>
          <w:szCs w:val="24"/>
        </w:rPr>
        <w:t>8.096.766,79 kn.</w:t>
      </w:r>
    </w:p>
    <w:p w14:paraId="2C94D826" w14:textId="6534F029" w:rsidR="00507CD2" w:rsidRDefault="00507CD2" w:rsidP="00507C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DCB2E" w14:textId="77777777" w:rsidR="00AF528B" w:rsidRPr="00877082" w:rsidRDefault="00AF528B" w:rsidP="00193037">
      <w:pPr>
        <w:spacing w:after="1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77082">
        <w:rPr>
          <w:rFonts w:ascii="Times New Roman" w:hAnsi="Times New Roman" w:cs="Times New Roman"/>
          <w:b/>
          <w:noProof/>
          <w:sz w:val="24"/>
          <w:szCs w:val="24"/>
        </w:rPr>
        <w:t>IZVJEŠTAJ O OBVEZAMA</w:t>
      </w:r>
    </w:p>
    <w:p w14:paraId="7313B6FE" w14:textId="1E8CC11B" w:rsidR="00AF528B" w:rsidRPr="00394A62" w:rsidRDefault="00AF528B" w:rsidP="00193037">
      <w:pPr>
        <w:spacing w:after="16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394A6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Bilješka broj </w:t>
      </w:r>
      <w:r w:rsidR="00507CD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</w:t>
      </w:r>
      <w:r w:rsidRPr="00394A6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– Obveze</w:t>
      </w:r>
    </w:p>
    <w:p w14:paraId="4359AAB1" w14:textId="65F0A0BB" w:rsidR="007316EB" w:rsidRPr="00877082" w:rsidRDefault="00AF528B" w:rsidP="007656BB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Stanje obveza na dan </w:t>
      </w:r>
      <w:r w:rsidR="00376D82">
        <w:rPr>
          <w:rFonts w:ascii="Times New Roman" w:hAnsi="Times New Roman" w:cs="Times New Roman"/>
          <w:noProof/>
          <w:sz w:val="24"/>
          <w:szCs w:val="24"/>
        </w:rPr>
        <w:t>3</w:t>
      </w:r>
      <w:r w:rsidRPr="00877082">
        <w:rPr>
          <w:rFonts w:ascii="Times New Roman" w:hAnsi="Times New Roman" w:cs="Times New Roman"/>
          <w:noProof/>
          <w:sz w:val="24"/>
          <w:szCs w:val="24"/>
        </w:rPr>
        <w:t>1.</w:t>
      </w:r>
      <w:r w:rsidR="00507CD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6D82">
        <w:rPr>
          <w:rFonts w:ascii="Times New Roman" w:hAnsi="Times New Roman" w:cs="Times New Roman"/>
          <w:noProof/>
          <w:sz w:val="24"/>
          <w:szCs w:val="24"/>
        </w:rPr>
        <w:t>prosinac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376D82">
        <w:rPr>
          <w:rFonts w:ascii="Times New Roman" w:hAnsi="Times New Roman" w:cs="Times New Roman"/>
          <w:noProof/>
          <w:sz w:val="24"/>
          <w:szCs w:val="24"/>
        </w:rPr>
        <w:t>1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godine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V001</w:t>
      </w:r>
      <w:r w:rsidRPr="00877082">
        <w:rPr>
          <w:rFonts w:ascii="Times New Roman" w:hAnsi="Times New Roman" w:cs="Times New Roman"/>
          <w:noProof/>
          <w:sz w:val="24"/>
          <w:szCs w:val="24"/>
        </w:rPr>
        <w:t>) predstavlja nepodmirene obveze iz prošle proračunske godine koje su prenesene u 20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9D4010">
        <w:rPr>
          <w:rFonts w:ascii="Times New Roman" w:hAnsi="Times New Roman" w:cs="Times New Roman"/>
          <w:noProof/>
          <w:sz w:val="24"/>
          <w:szCs w:val="24"/>
        </w:rPr>
        <w:t>2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</w:t>
      </w:r>
      <w:r w:rsidR="00FC1E28" w:rsidRPr="00877082">
        <w:rPr>
          <w:rFonts w:ascii="Times New Roman" w:hAnsi="Times New Roman" w:cs="Times New Roman"/>
          <w:noProof/>
          <w:sz w:val="24"/>
          <w:szCs w:val="24"/>
        </w:rPr>
        <w:t>u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. Obrazac Obveze sadrži podatke o obvezama za razdoblje </w:t>
      </w:r>
      <w:r w:rsidR="00193037" w:rsidRPr="00877082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1.</w:t>
      </w:r>
      <w:r w:rsidR="00877082" w:rsidRPr="008770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siječnja do </w:t>
      </w:r>
      <w:r w:rsidR="00507CD2">
        <w:rPr>
          <w:rFonts w:ascii="Times New Roman" w:hAnsi="Times New Roman" w:cs="Times New Roman"/>
          <w:noProof/>
          <w:sz w:val="24"/>
          <w:szCs w:val="24"/>
        </w:rPr>
        <w:t>31</w:t>
      </w:r>
      <w:r w:rsidR="00825E5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07CD2">
        <w:rPr>
          <w:rFonts w:ascii="Times New Roman" w:hAnsi="Times New Roman" w:cs="Times New Roman"/>
          <w:noProof/>
          <w:sz w:val="24"/>
          <w:szCs w:val="24"/>
        </w:rPr>
        <w:t xml:space="preserve">prosinca </w:t>
      </w:r>
      <w:r w:rsidR="009D4010">
        <w:rPr>
          <w:rFonts w:ascii="Times New Roman" w:hAnsi="Times New Roman" w:cs="Times New Roman"/>
          <w:noProof/>
          <w:sz w:val="24"/>
          <w:szCs w:val="24"/>
        </w:rPr>
        <w:t>2022</w:t>
      </w:r>
      <w:r w:rsidRPr="00877082">
        <w:rPr>
          <w:rFonts w:ascii="Times New Roman" w:hAnsi="Times New Roman" w:cs="Times New Roman"/>
          <w:noProof/>
          <w:sz w:val="24"/>
          <w:szCs w:val="24"/>
        </w:rPr>
        <w:t>. godine.</w:t>
      </w:r>
    </w:p>
    <w:p w14:paraId="61F6122E" w14:textId="24744DE3" w:rsidR="00E07D03" w:rsidRPr="00877082" w:rsidRDefault="00E07D03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Ukupne obveze </w:t>
      </w:r>
      <w:r w:rsidR="007656BB">
        <w:rPr>
          <w:rFonts w:ascii="Times New Roman" w:hAnsi="Times New Roman" w:cs="Times New Roman"/>
          <w:noProof/>
          <w:sz w:val="24"/>
          <w:szCs w:val="24"/>
        </w:rPr>
        <w:t>Općine Draganić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 na dan 1. siječnja 20</w:t>
      </w:r>
      <w:r w:rsidR="004C2195" w:rsidRPr="00877082">
        <w:rPr>
          <w:rFonts w:ascii="Times New Roman" w:hAnsi="Times New Roman" w:cs="Times New Roman"/>
          <w:noProof/>
          <w:sz w:val="24"/>
          <w:szCs w:val="24"/>
        </w:rPr>
        <w:t>2</w:t>
      </w:r>
      <w:r w:rsidR="009D4010">
        <w:rPr>
          <w:rFonts w:ascii="Times New Roman" w:hAnsi="Times New Roman" w:cs="Times New Roman"/>
          <w:noProof/>
          <w:sz w:val="24"/>
          <w:szCs w:val="24"/>
        </w:rPr>
        <w:t>2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. godine </w:t>
      </w:r>
      <w:r w:rsidR="009A0C44" w:rsidRPr="00877082">
        <w:rPr>
          <w:rFonts w:ascii="Times New Roman" w:hAnsi="Times New Roman" w:cs="Times New Roman"/>
          <w:noProof/>
          <w:sz w:val="24"/>
          <w:szCs w:val="24"/>
        </w:rPr>
        <w:t xml:space="preserve">iznosile 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>su</w:t>
      </w:r>
      <w:r w:rsidR="007656B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56BB" w:rsidRPr="007656BB">
        <w:rPr>
          <w:rFonts w:ascii="Times New Roman" w:hAnsi="Times New Roman" w:cs="Times New Roman"/>
          <w:noProof/>
          <w:sz w:val="24"/>
          <w:szCs w:val="24"/>
        </w:rPr>
        <w:t>258</w:t>
      </w:r>
      <w:r w:rsidR="00825E59">
        <w:rPr>
          <w:rFonts w:ascii="Times New Roman" w:hAnsi="Times New Roman" w:cs="Times New Roman"/>
          <w:noProof/>
          <w:sz w:val="24"/>
          <w:szCs w:val="24"/>
        </w:rPr>
        <w:t>.</w:t>
      </w:r>
      <w:r w:rsidR="007656BB" w:rsidRPr="007656BB">
        <w:rPr>
          <w:rFonts w:ascii="Times New Roman" w:hAnsi="Times New Roman" w:cs="Times New Roman"/>
          <w:noProof/>
          <w:sz w:val="24"/>
          <w:szCs w:val="24"/>
        </w:rPr>
        <w:t>787,86</w:t>
      </w:r>
      <w:r w:rsidR="0066000F" w:rsidRPr="0087708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3037" w:rsidRPr="0087708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kn </w:t>
      </w:r>
      <w:r w:rsidR="00DA6F34" w:rsidRPr="00877082">
        <w:rPr>
          <w:rFonts w:ascii="Times New Roman" w:hAnsi="Times New Roman" w:cs="Times New Roman"/>
          <w:noProof/>
          <w:sz w:val="24"/>
          <w:szCs w:val="24"/>
        </w:rPr>
        <w:t>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V001</w:t>
      </w:r>
      <w:r w:rsidR="007316EB" w:rsidRPr="00877082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38244C4C" w14:textId="251AAF1A" w:rsidR="00857F76" w:rsidRPr="00877082" w:rsidRDefault="007316EB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877082">
        <w:rPr>
          <w:rFonts w:ascii="Times New Roman" w:hAnsi="Times New Roman" w:cs="Times New Roman"/>
          <w:noProof/>
          <w:sz w:val="24"/>
          <w:szCs w:val="24"/>
        </w:rPr>
        <w:t>Povećanje obveza u izvještajnom razdoblju iznosi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7CD2">
        <w:rPr>
          <w:rFonts w:ascii="Times New Roman" w:hAnsi="Times New Roman" w:cs="Times New Roman"/>
          <w:noProof/>
          <w:sz w:val="24"/>
          <w:szCs w:val="24"/>
        </w:rPr>
        <w:t>8.314.106,92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 kn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V002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), dok su </w:t>
      </w:r>
      <w:r w:rsidR="004E75B9" w:rsidRPr="00877082">
        <w:rPr>
          <w:rFonts w:ascii="Times New Roman" w:hAnsi="Times New Roman" w:cs="Times New Roman"/>
          <w:noProof/>
          <w:sz w:val="24"/>
          <w:szCs w:val="24"/>
        </w:rPr>
        <w:t xml:space="preserve">obveze podmirene </w:t>
      </w:r>
      <w:r w:rsidRPr="00877082">
        <w:rPr>
          <w:rFonts w:ascii="Times New Roman" w:hAnsi="Times New Roman" w:cs="Times New Roman"/>
          <w:noProof/>
          <w:sz w:val="24"/>
          <w:szCs w:val="24"/>
        </w:rPr>
        <w:t xml:space="preserve">u iznosu od </w:t>
      </w:r>
      <w:r w:rsidR="00507CD2">
        <w:rPr>
          <w:rFonts w:ascii="Times New Roman" w:hAnsi="Times New Roman" w:cs="Times New Roman"/>
          <w:noProof/>
          <w:sz w:val="24"/>
          <w:szCs w:val="24"/>
        </w:rPr>
        <w:t>7.858.282,68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77082">
        <w:rPr>
          <w:rFonts w:ascii="Times New Roman" w:hAnsi="Times New Roman" w:cs="Times New Roman"/>
          <w:noProof/>
          <w:sz w:val="24"/>
          <w:szCs w:val="24"/>
        </w:rPr>
        <w:t>kn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V004</w:t>
      </w:r>
      <w:r w:rsidR="00857F76" w:rsidRPr="00877082">
        <w:rPr>
          <w:rFonts w:ascii="Times New Roman" w:hAnsi="Times New Roman" w:cs="Times New Roman"/>
          <w:noProof/>
          <w:sz w:val="24"/>
          <w:szCs w:val="24"/>
        </w:rPr>
        <w:t>)</w:t>
      </w:r>
      <w:r w:rsidR="00193037" w:rsidRPr="008770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38FD46D" w14:textId="0D722ACA" w:rsidR="00857F76" w:rsidRPr="00A02A8A" w:rsidRDefault="007316EB" w:rsidP="007656BB">
      <w:pPr>
        <w:spacing w:after="160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hr-HR"/>
        </w:rPr>
      </w:pP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Stanje obveza na dan </w:t>
      </w:r>
      <w:r w:rsidR="00507CD2">
        <w:rPr>
          <w:rFonts w:ascii="Times New Roman" w:hAnsi="Times New Roman" w:cs="Times New Roman"/>
          <w:noProof/>
          <w:sz w:val="24"/>
          <w:szCs w:val="24"/>
        </w:rPr>
        <w:t>31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07CD2">
        <w:rPr>
          <w:rFonts w:ascii="Times New Roman" w:hAnsi="Times New Roman" w:cs="Times New Roman"/>
          <w:noProof/>
          <w:sz w:val="24"/>
          <w:szCs w:val="24"/>
        </w:rPr>
        <w:t>prosinca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2022.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godine iznosi </w:t>
      </w:r>
      <w:r w:rsidR="00507CD2">
        <w:rPr>
          <w:rFonts w:ascii="Times New Roman" w:hAnsi="Times New Roman" w:cs="Times New Roman"/>
          <w:noProof/>
          <w:sz w:val="24"/>
          <w:szCs w:val="24"/>
        </w:rPr>
        <w:t>534.612,10</w:t>
      </w:r>
      <w:r w:rsidR="009D4010" w:rsidRPr="009D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3037" w:rsidRPr="00E7004D">
        <w:rPr>
          <w:rFonts w:ascii="Times New Roman" w:hAnsi="Times New Roman" w:cs="Times New Roman"/>
          <w:noProof/>
          <w:sz w:val="24"/>
          <w:szCs w:val="24"/>
        </w:rPr>
        <w:t>kn</w:t>
      </w:r>
      <w:r w:rsidRPr="00E7004D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V006</w:t>
      </w:r>
      <w:r w:rsidRPr="00E7004D">
        <w:rPr>
          <w:rFonts w:ascii="Times New Roman" w:hAnsi="Times New Roman" w:cs="Times New Roman"/>
          <w:noProof/>
          <w:sz w:val="24"/>
          <w:szCs w:val="24"/>
        </w:rPr>
        <w:t>)</w:t>
      </w:r>
      <w:r w:rsidR="00E7004D" w:rsidRPr="00E7004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FD54B1E" w14:textId="7F4E3F6B" w:rsidR="00AF528B" w:rsidRPr="00A62445" w:rsidRDefault="00AF528B" w:rsidP="007656BB">
      <w:pPr>
        <w:spacing w:after="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Na dan </w:t>
      </w:r>
      <w:r w:rsidR="00507CD2">
        <w:rPr>
          <w:rFonts w:ascii="Times New Roman" w:hAnsi="Times New Roman" w:cs="Times New Roman"/>
          <w:noProof/>
          <w:sz w:val="24"/>
          <w:szCs w:val="24"/>
        </w:rPr>
        <w:t>31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507CD2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2022.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godine </w:t>
      </w:r>
      <w:r w:rsidR="007656BB">
        <w:rPr>
          <w:rFonts w:ascii="Times New Roman" w:hAnsi="Times New Roman" w:cs="Times New Roman"/>
          <w:noProof/>
          <w:sz w:val="24"/>
          <w:szCs w:val="24"/>
        </w:rPr>
        <w:t>Općina Draganić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nema dospjelih obveza 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V007</w:t>
      </w:r>
      <w:r w:rsidRPr="00A62445">
        <w:rPr>
          <w:rFonts w:ascii="Times New Roman" w:hAnsi="Times New Roman" w:cs="Times New Roman"/>
          <w:noProof/>
          <w:sz w:val="24"/>
          <w:szCs w:val="24"/>
        </w:rPr>
        <w:t>)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4AF787E" w14:textId="223A3B38" w:rsidR="00E07D03" w:rsidRPr="00A62445" w:rsidRDefault="00AF528B" w:rsidP="007656BB">
      <w:pPr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Stanje nedospjelih obveza na kraju izvještajnog razdoblja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iznosi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 ukupno iznose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D4010" w:rsidRPr="009D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07CD2">
        <w:rPr>
          <w:rFonts w:ascii="Times New Roman" w:hAnsi="Times New Roman" w:cs="Times New Roman"/>
          <w:noProof/>
          <w:sz w:val="24"/>
          <w:szCs w:val="24"/>
        </w:rPr>
        <w:t>534.612,10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93037" w:rsidRPr="00A62445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Pr="00A62445">
        <w:rPr>
          <w:rFonts w:ascii="Times New Roman" w:hAnsi="Times New Roman" w:cs="Times New Roman"/>
          <w:noProof/>
          <w:sz w:val="24"/>
          <w:szCs w:val="24"/>
        </w:rPr>
        <w:t>(</w:t>
      </w:r>
      <w:r w:rsidR="009D4010">
        <w:rPr>
          <w:rFonts w:ascii="Times New Roman" w:hAnsi="Times New Roman" w:cs="Times New Roman"/>
          <w:noProof/>
          <w:sz w:val="24"/>
          <w:szCs w:val="24"/>
        </w:rPr>
        <w:t>V009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a odnos</w:t>
      </w:r>
      <w:r w:rsidR="00F6519A" w:rsidRPr="00A62445">
        <w:rPr>
          <w:rFonts w:ascii="Times New Roman" w:hAnsi="Times New Roman" w:cs="Times New Roman"/>
          <w:noProof/>
          <w:sz w:val="24"/>
          <w:szCs w:val="24"/>
        </w:rPr>
        <w:t>i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 xml:space="preserve"> se na obveze za rashode poslovanja 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u iznosu </w:t>
      </w:r>
      <w:r w:rsidR="00507CD2">
        <w:rPr>
          <w:rFonts w:ascii="Times New Roman" w:hAnsi="Times New Roman" w:cs="Times New Roman"/>
          <w:noProof/>
          <w:sz w:val="24"/>
          <w:szCs w:val="24"/>
        </w:rPr>
        <w:t>263.567,24</w:t>
      </w:r>
      <w:r w:rsidR="001A13AB" w:rsidRPr="001A13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kn 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>(</w:t>
      </w:r>
      <w:r w:rsidR="009D4010">
        <w:rPr>
          <w:rFonts w:ascii="Times New Roman" w:hAnsi="Times New Roman" w:cs="Times New Roman"/>
          <w:noProof/>
          <w:sz w:val="24"/>
          <w:szCs w:val="24"/>
        </w:rPr>
        <w:t>šifra ND23</w:t>
      </w:r>
      <w:r w:rsidR="00DA6F34" w:rsidRPr="00A62445">
        <w:rPr>
          <w:rFonts w:ascii="Times New Roman" w:hAnsi="Times New Roman" w:cs="Times New Roman"/>
          <w:noProof/>
          <w:sz w:val="24"/>
          <w:szCs w:val="24"/>
        </w:rPr>
        <w:t xml:space="preserve">) koje 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čine: </w:t>
      </w:r>
    </w:p>
    <w:p w14:paraId="3279B842" w14:textId="5E8A4D5D" w:rsidR="00507CD2" w:rsidRPr="00507CD2" w:rsidRDefault="00AF528B" w:rsidP="00DA53D0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>231 – o</w:t>
      </w:r>
      <w:r w:rsidR="007656BB">
        <w:rPr>
          <w:rFonts w:ascii="Times New Roman" w:hAnsi="Times New Roman" w:cs="Times New Roman"/>
          <w:noProof/>
          <w:sz w:val="24"/>
          <w:szCs w:val="24"/>
        </w:rPr>
        <w:t xml:space="preserve">bveze za zaposlene u iznosu od </w:t>
      </w:r>
      <w:r w:rsidR="001A13AB">
        <w:rPr>
          <w:rFonts w:ascii="Times New Roman" w:hAnsi="Times New Roman" w:cs="Times New Roman"/>
          <w:noProof/>
          <w:sz w:val="24"/>
          <w:szCs w:val="24"/>
        </w:rPr>
        <w:t>67.</w:t>
      </w:r>
      <w:r w:rsidR="00507CD2">
        <w:rPr>
          <w:rFonts w:ascii="Times New Roman" w:hAnsi="Times New Roman" w:cs="Times New Roman"/>
          <w:noProof/>
          <w:sz w:val="24"/>
          <w:szCs w:val="24"/>
        </w:rPr>
        <w:t>634,67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kn, odnosno plaća za </w:t>
      </w:r>
      <w:r w:rsidR="00507CD2">
        <w:rPr>
          <w:rFonts w:ascii="Times New Roman" w:hAnsi="Times New Roman" w:cs="Times New Roman"/>
          <w:noProof/>
          <w:sz w:val="24"/>
          <w:szCs w:val="24"/>
        </w:rPr>
        <w:t>prosinac</w:t>
      </w:r>
      <w:r w:rsidR="009D4010">
        <w:rPr>
          <w:rFonts w:ascii="Times New Roman" w:hAnsi="Times New Roman" w:cs="Times New Roman"/>
          <w:noProof/>
          <w:sz w:val="24"/>
          <w:szCs w:val="24"/>
        </w:rPr>
        <w:t xml:space="preserve"> 2022</w:t>
      </w:r>
      <w:r w:rsidR="00E07D03" w:rsidRPr="00A6244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D09BCDD" w14:textId="1636287A" w:rsidR="00E07D03" w:rsidRDefault="00AF528B" w:rsidP="00DA53D0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232 </w:t>
      </w:r>
      <w:bookmarkStart w:id="0" w:name="_Hlk127278034"/>
      <w:r w:rsidRPr="00A62445">
        <w:rPr>
          <w:rFonts w:ascii="Times New Roman" w:hAnsi="Times New Roman" w:cs="Times New Roman"/>
          <w:noProof/>
          <w:sz w:val="24"/>
          <w:szCs w:val="24"/>
        </w:rPr>
        <w:t>–</w:t>
      </w:r>
      <w:bookmarkEnd w:id="0"/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 obveze za m</w:t>
      </w:r>
      <w:r w:rsidR="007656BB">
        <w:rPr>
          <w:rFonts w:ascii="Times New Roman" w:hAnsi="Times New Roman" w:cs="Times New Roman"/>
          <w:noProof/>
          <w:sz w:val="24"/>
          <w:szCs w:val="24"/>
        </w:rPr>
        <w:t xml:space="preserve">aterijalne rashode u iznosu od </w:t>
      </w:r>
      <w:r w:rsidR="00507CD2">
        <w:rPr>
          <w:rFonts w:ascii="Times New Roman" w:hAnsi="Times New Roman" w:cs="Times New Roman"/>
          <w:noProof/>
          <w:sz w:val="24"/>
          <w:szCs w:val="24"/>
        </w:rPr>
        <w:t>139.910,69</w:t>
      </w:r>
      <w:r w:rsidR="009D4010" w:rsidRPr="009D40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2445">
        <w:rPr>
          <w:rFonts w:ascii="Times New Roman" w:hAnsi="Times New Roman" w:cs="Times New Roman"/>
          <w:noProof/>
          <w:sz w:val="24"/>
          <w:szCs w:val="24"/>
        </w:rPr>
        <w:t xml:space="preserve">kn; </w:t>
      </w:r>
    </w:p>
    <w:p w14:paraId="36BB9628" w14:textId="45EEA2DA" w:rsidR="00507CD2" w:rsidRPr="00A62445" w:rsidRDefault="00507CD2" w:rsidP="00DA53D0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234 </w:t>
      </w:r>
      <w:r w:rsidRPr="00A62445">
        <w:rPr>
          <w:rFonts w:ascii="Times New Roman" w:hAnsi="Times New Roman" w:cs="Times New Roman"/>
          <w:noProof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obveze za financijske rashode u iznosu od 786,50 kn;</w:t>
      </w:r>
    </w:p>
    <w:p w14:paraId="57DAB833" w14:textId="682C4FCB" w:rsidR="007656BB" w:rsidRDefault="007656BB" w:rsidP="00DA53D0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235</w:t>
      </w:r>
      <w:r w:rsidRPr="007656BB">
        <w:rPr>
          <w:rFonts w:ascii="Times New Roman" w:hAnsi="Times New Roman" w:cs="Times New Roman"/>
          <w:noProof/>
          <w:sz w:val="24"/>
          <w:szCs w:val="24"/>
        </w:rPr>
        <w:t xml:space="preserve"> – obveze za </w:t>
      </w:r>
      <w:r w:rsidR="00D216B0">
        <w:rPr>
          <w:rFonts w:ascii="Times New Roman" w:hAnsi="Times New Roman" w:cs="Times New Roman"/>
          <w:noProof/>
          <w:sz w:val="24"/>
          <w:szCs w:val="24"/>
        </w:rPr>
        <w:t>subvencije</w:t>
      </w:r>
      <w:r w:rsidRPr="007656BB">
        <w:rPr>
          <w:rFonts w:ascii="Times New Roman" w:hAnsi="Times New Roman" w:cs="Times New Roman"/>
          <w:noProof/>
          <w:sz w:val="24"/>
          <w:szCs w:val="24"/>
        </w:rPr>
        <w:t xml:space="preserve"> u iznosu od </w:t>
      </w:r>
      <w:r w:rsidRPr="007656BB">
        <w:t xml:space="preserve"> </w:t>
      </w:r>
      <w:r w:rsidR="00507CD2">
        <w:rPr>
          <w:rFonts w:ascii="Times New Roman" w:hAnsi="Times New Roman" w:cs="Times New Roman"/>
          <w:noProof/>
          <w:sz w:val="24"/>
          <w:szCs w:val="24"/>
        </w:rPr>
        <w:t>12.770,02</w:t>
      </w:r>
      <w:r w:rsidRPr="007656BB">
        <w:rPr>
          <w:rFonts w:ascii="Times New Roman" w:hAnsi="Times New Roman" w:cs="Times New Roman"/>
          <w:noProof/>
          <w:sz w:val="24"/>
          <w:szCs w:val="24"/>
        </w:rPr>
        <w:t xml:space="preserve"> kn;</w:t>
      </w:r>
    </w:p>
    <w:p w14:paraId="1BE78A8C" w14:textId="4A3753C6" w:rsidR="001A13AB" w:rsidRPr="007656BB" w:rsidRDefault="001A13AB" w:rsidP="00DA53D0">
      <w:pPr>
        <w:numPr>
          <w:ilvl w:val="0"/>
          <w:numId w:val="1"/>
        </w:numPr>
        <w:spacing w:after="1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237 </w:t>
      </w:r>
      <w:r w:rsidRPr="001A13AB">
        <w:rPr>
          <w:rFonts w:ascii="Times New Roman" w:hAnsi="Times New Roman" w:cs="Times New Roman"/>
          <w:noProof/>
          <w:sz w:val="24"/>
          <w:szCs w:val="24"/>
        </w:rPr>
        <w:t>–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obveze za naknade građanima i kućanstvima u iznosu od </w:t>
      </w:r>
      <w:r w:rsidR="00DA53D0">
        <w:rPr>
          <w:rFonts w:ascii="Times New Roman" w:hAnsi="Times New Roman" w:cs="Times New Roman"/>
          <w:noProof/>
          <w:sz w:val="24"/>
          <w:szCs w:val="24"/>
        </w:rPr>
        <w:t>10.000,00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kn</w:t>
      </w:r>
    </w:p>
    <w:p w14:paraId="399F35BD" w14:textId="4C407F69" w:rsidR="00361B62" w:rsidRDefault="007656BB" w:rsidP="00DA53D0">
      <w:pPr>
        <w:pStyle w:val="Odlomakpopisa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239 </w:t>
      </w:r>
      <w:r w:rsidRPr="007656BB">
        <w:rPr>
          <w:rFonts w:ascii="Times New Roman" w:hAnsi="Times New Roman" w:cs="Times New Roman"/>
          <w:noProof/>
          <w:sz w:val="24"/>
          <w:szCs w:val="24"/>
        </w:rPr>
        <w:t>–</w:t>
      </w:r>
      <w:r w:rsidR="00AF528B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216B0">
        <w:rPr>
          <w:rFonts w:ascii="Times New Roman" w:hAnsi="Times New Roman" w:cs="Times New Roman"/>
          <w:noProof/>
          <w:sz w:val="24"/>
          <w:szCs w:val="24"/>
        </w:rPr>
        <w:t>ostale tekuće obveze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u iznosu </w:t>
      </w:r>
      <w:r w:rsidR="001A13AB">
        <w:rPr>
          <w:rFonts w:ascii="Times New Roman" w:hAnsi="Times New Roman" w:cs="Times New Roman"/>
          <w:noProof/>
          <w:sz w:val="24"/>
          <w:szCs w:val="24"/>
        </w:rPr>
        <w:t xml:space="preserve">od </w:t>
      </w:r>
      <w:r w:rsidR="00DA53D0">
        <w:rPr>
          <w:rFonts w:ascii="Times New Roman" w:hAnsi="Times New Roman" w:cs="Times New Roman"/>
          <w:noProof/>
          <w:sz w:val="24"/>
          <w:szCs w:val="24"/>
        </w:rPr>
        <w:t>32.465,36</w:t>
      </w:r>
      <w:r w:rsidR="00857F76" w:rsidRPr="00A624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F528B" w:rsidRPr="00A62445">
        <w:rPr>
          <w:rFonts w:ascii="Times New Roman" w:hAnsi="Times New Roman" w:cs="Times New Roman"/>
          <w:noProof/>
          <w:sz w:val="24"/>
          <w:szCs w:val="24"/>
        </w:rPr>
        <w:t>kn</w:t>
      </w:r>
    </w:p>
    <w:p w14:paraId="690EDB20" w14:textId="0839ABA7" w:rsidR="001A13AB" w:rsidRPr="001A13AB" w:rsidRDefault="001A13AB" w:rsidP="001A13AB">
      <w:pPr>
        <w:spacing w:after="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i na obveze za nabavu nefinancijske imovine u iznosu od </w:t>
      </w:r>
      <w:r w:rsidR="00507CD2">
        <w:rPr>
          <w:rFonts w:ascii="Times New Roman" w:hAnsi="Times New Roman" w:cs="Times New Roman"/>
          <w:noProof/>
          <w:sz w:val="24"/>
          <w:szCs w:val="24"/>
        </w:rPr>
        <w:t>271.044,86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kn (šifra ND24) koje se odnose na obveze za nabavu proizvedene dugotrajne imovine</w:t>
      </w:r>
      <w:r w:rsidR="00DA53D0">
        <w:rPr>
          <w:rFonts w:ascii="Times New Roman" w:hAnsi="Times New Roman" w:cs="Times New Roman"/>
          <w:noProof/>
          <w:sz w:val="24"/>
          <w:szCs w:val="24"/>
        </w:rPr>
        <w:t xml:space="preserve"> u iznosu 87.487,50 kn i na obveze na dodatna ulaganja na nefinancijskoj imovinu u iznosu </w:t>
      </w:r>
      <w:r w:rsidR="00376D82">
        <w:rPr>
          <w:rFonts w:ascii="Times New Roman" w:hAnsi="Times New Roman" w:cs="Times New Roman"/>
          <w:noProof/>
          <w:sz w:val="24"/>
          <w:szCs w:val="24"/>
        </w:rPr>
        <w:t>183.557,36</w:t>
      </w:r>
      <w:r w:rsidR="00DA53D0">
        <w:rPr>
          <w:rFonts w:ascii="Times New Roman" w:hAnsi="Times New Roman" w:cs="Times New Roman"/>
          <w:noProof/>
          <w:sz w:val="24"/>
          <w:szCs w:val="24"/>
        </w:rPr>
        <w:t xml:space="preserve"> kn.</w:t>
      </w:r>
    </w:p>
    <w:p w14:paraId="2BDD6A21" w14:textId="77777777" w:rsidR="00361B62" w:rsidRPr="00A02A8A" w:rsidRDefault="00361B62" w:rsidP="007656BB">
      <w:pPr>
        <w:spacing w:after="12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</w:p>
    <w:p w14:paraId="683D3EFD" w14:textId="77777777" w:rsidR="00A02A8A" w:rsidRDefault="00A02A8A" w:rsidP="007656BB">
      <w:pPr>
        <w:spacing w:after="120"/>
        <w:rPr>
          <w:rFonts w:cs="Times New Roman"/>
          <w:szCs w:val="24"/>
        </w:rPr>
      </w:pPr>
    </w:p>
    <w:p w14:paraId="10A6694C" w14:textId="77777777" w:rsidR="00A02A8A" w:rsidRPr="00A02A8A" w:rsidRDefault="00A02A8A" w:rsidP="007656B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5B2245F9" w14:textId="7D8D4849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Osoba za kontaktiranje: </w:t>
      </w:r>
      <w:r w:rsidR="007656BB">
        <w:rPr>
          <w:rFonts w:ascii="Times New Roman" w:hAnsi="Times New Roman" w:cs="Times New Roman"/>
          <w:sz w:val="24"/>
          <w:szCs w:val="24"/>
        </w:rPr>
        <w:t>Ivana Vranešić</w:t>
      </w:r>
      <w:bookmarkStart w:id="1" w:name="_GoBack"/>
      <w:bookmarkEnd w:id="1"/>
    </w:p>
    <w:p w14:paraId="4CE35898" w14:textId="1C452F4C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Telefon za kontakt: </w:t>
      </w:r>
      <w:r w:rsidR="007656BB">
        <w:rPr>
          <w:rFonts w:ascii="Times New Roman" w:hAnsi="Times New Roman" w:cs="Times New Roman"/>
          <w:sz w:val="24"/>
          <w:szCs w:val="24"/>
        </w:rPr>
        <w:t>047 715 136</w:t>
      </w:r>
    </w:p>
    <w:p w14:paraId="1E44F2CC" w14:textId="7677D5A6" w:rsid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 xml:space="preserve">Odgovorna osoba: </w:t>
      </w:r>
      <w:r w:rsidR="00D216B0">
        <w:rPr>
          <w:rFonts w:ascii="Times New Roman" w:hAnsi="Times New Roman" w:cs="Times New Roman"/>
          <w:sz w:val="24"/>
          <w:szCs w:val="24"/>
        </w:rPr>
        <w:t>Anica Domladovac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16B0">
        <w:rPr>
          <w:rFonts w:ascii="Times New Roman" w:hAnsi="Times New Roman" w:cs="Times New Roman"/>
          <w:sz w:val="24"/>
          <w:szCs w:val="24"/>
        </w:rPr>
        <w:t xml:space="preserve">načelnica </w:t>
      </w:r>
    </w:p>
    <w:p w14:paraId="6E4C36B7" w14:textId="415232BA" w:rsidR="00FF349A" w:rsidRPr="00A02A8A" w:rsidRDefault="00FF349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Draganiću, 15.02.2023.</w:t>
      </w:r>
    </w:p>
    <w:p w14:paraId="5623435D" w14:textId="77777777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1DC3D06" w14:textId="77777777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91DDAC9" w14:textId="77777777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</w:p>
    <w:p w14:paraId="295F0F10" w14:textId="77777777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>_________________________</w:t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3ED19B93" w14:textId="77777777" w:rsidR="00A02A8A" w:rsidRPr="00A02A8A" w:rsidRDefault="00A02A8A" w:rsidP="00A02A8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02A8A">
        <w:rPr>
          <w:rFonts w:ascii="Times New Roman" w:hAnsi="Times New Roman" w:cs="Times New Roman"/>
          <w:sz w:val="24"/>
          <w:szCs w:val="24"/>
        </w:rPr>
        <w:t>Potpis voditelja računovodstva</w:t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</w:r>
      <w:r w:rsidRPr="00A02A8A">
        <w:rPr>
          <w:rFonts w:ascii="Times New Roman" w:hAnsi="Times New Roman" w:cs="Times New Roman"/>
          <w:sz w:val="24"/>
          <w:szCs w:val="24"/>
        </w:rPr>
        <w:tab/>
        <w:t>Potpis odgovorne osobe</w:t>
      </w:r>
    </w:p>
    <w:sectPr w:rsidR="00A02A8A" w:rsidRPr="00A02A8A" w:rsidSect="00F34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3EB4"/>
    <w:multiLevelType w:val="hybridMultilevel"/>
    <w:tmpl w:val="99F2588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78FF"/>
    <w:multiLevelType w:val="hybridMultilevel"/>
    <w:tmpl w:val="5470A5D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F0DD9"/>
    <w:multiLevelType w:val="hybridMultilevel"/>
    <w:tmpl w:val="39D88C9C"/>
    <w:lvl w:ilvl="0" w:tplc="DB10B4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4F04DB"/>
    <w:multiLevelType w:val="hybridMultilevel"/>
    <w:tmpl w:val="E5D00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434B1"/>
    <w:multiLevelType w:val="hybridMultilevel"/>
    <w:tmpl w:val="7F7E914A"/>
    <w:lvl w:ilvl="0" w:tplc="9D100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A6AA7"/>
    <w:multiLevelType w:val="hybridMultilevel"/>
    <w:tmpl w:val="CC80F8E2"/>
    <w:lvl w:ilvl="0" w:tplc="752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03475"/>
    <w:multiLevelType w:val="hybridMultilevel"/>
    <w:tmpl w:val="6E46F75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44F34"/>
    <w:multiLevelType w:val="hybridMultilevel"/>
    <w:tmpl w:val="6328607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8B"/>
    <w:rsid w:val="000129AF"/>
    <w:rsid w:val="000245A8"/>
    <w:rsid w:val="000254D2"/>
    <w:rsid w:val="0003069B"/>
    <w:rsid w:val="00050F20"/>
    <w:rsid w:val="0005413D"/>
    <w:rsid w:val="0007398E"/>
    <w:rsid w:val="00082DE4"/>
    <w:rsid w:val="000847DE"/>
    <w:rsid w:val="0009101C"/>
    <w:rsid w:val="00091876"/>
    <w:rsid w:val="00092240"/>
    <w:rsid w:val="000A0CBC"/>
    <w:rsid w:val="000A558F"/>
    <w:rsid w:val="000B6CE5"/>
    <w:rsid w:val="000C0D13"/>
    <w:rsid w:val="000D3141"/>
    <w:rsid w:val="000D4815"/>
    <w:rsid w:val="000F2916"/>
    <w:rsid w:val="00100788"/>
    <w:rsid w:val="00105760"/>
    <w:rsid w:val="00105969"/>
    <w:rsid w:val="00106CC4"/>
    <w:rsid w:val="00117D0A"/>
    <w:rsid w:val="00122482"/>
    <w:rsid w:val="00122F68"/>
    <w:rsid w:val="00123046"/>
    <w:rsid w:val="00123823"/>
    <w:rsid w:val="00123D80"/>
    <w:rsid w:val="00136C18"/>
    <w:rsid w:val="001410B3"/>
    <w:rsid w:val="001546FB"/>
    <w:rsid w:val="00155950"/>
    <w:rsid w:val="00166327"/>
    <w:rsid w:val="00180B20"/>
    <w:rsid w:val="001818E0"/>
    <w:rsid w:val="00182EE4"/>
    <w:rsid w:val="001854C9"/>
    <w:rsid w:val="00191156"/>
    <w:rsid w:val="00193037"/>
    <w:rsid w:val="001A13AB"/>
    <w:rsid w:val="001A7174"/>
    <w:rsid w:val="001B4258"/>
    <w:rsid w:val="001C12CE"/>
    <w:rsid w:val="001C5013"/>
    <w:rsid w:val="001D1E8C"/>
    <w:rsid w:val="001E3616"/>
    <w:rsid w:val="001E4FCE"/>
    <w:rsid w:val="001F126D"/>
    <w:rsid w:val="002058FE"/>
    <w:rsid w:val="002128A4"/>
    <w:rsid w:val="0024083A"/>
    <w:rsid w:val="00251044"/>
    <w:rsid w:val="00267E73"/>
    <w:rsid w:val="00285982"/>
    <w:rsid w:val="002977AC"/>
    <w:rsid w:val="002A5262"/>
    <w:rsid w:val="002C4D3B"/>
    <w:rsid w:val="002D7F9F"/>
    <w:rsid w:val="002E012B"/>
    <w:rsid w:val="002E06B3"/>
    <w:rsid w:val="002E5870"/>
    <w:rsid w:val="002E7F9F"/>
    <w:rsid w:val="0031257D"/>
    <w:rsid w:val="00323D5A"/>
    <w:rsid w:val="00331D2D"/>
    <w:rsid w:val="00333C4F"/>
    <w:rsid w:val="00345301"/>
    <w:rsid w:val="0034719D"/>
    <w:rsid w:val="00347E2B"/>
    <w:rsid w:val="00352175"/>
    <w:rsid w:val="00352236"/>
    <w:rsid w:val="0036142E"/>
    <w:rsid w:val="00361B62"/>
    <w:rsid w:val="0037232E"/>
    <w:rsid w:val="00376D82"/>
    <w:rsid w:val="00377612"/>
    <w:rsid w:val="0038342B"/>
    <w:rsid w:val="00384B32"/>
    <w:rsid w:val="00385B0D"/>
    <w:rsid w:val="0039371B"/>
    <w:rsid w:val="00394A62"/>
    <w:rsid w:val="0039599F"/>
    <w:rsid w:val="003A409A"/>
    <w:rsid w:val="003A571B"/>
    <w:rsid w:val="003B0E73"/>
    <w:rsid w:val="003C01A7"/>
    <w:rsid w:val="003C0515"/>
    <w:rsid w:val="003E69B5"/>
    <w:rsid w:val="00407F70"/>
    <w:rsid w:val="00420282"/>
    <w:rsid w:val="004234C1"/>
    <w:rsid w:val="0042444C"/>
    <w:rsid w:val="004316CA"/>
    <w:rsid w:val="00431B65"/>
    <w:rsid w:val="00444FEF"/>
    <w:rsid w:val="004543A9"/>
    <w:rsid w:val="00485AA1"/>
    <w:rsid w:val="004961FE"/>
    <w:rsid w:val="004C2195"/>
    <w:rsid w:val="004C6DBD"/>
    <w:rsid w:val="004E45E4"/>
    <w:rsid w:val="004E54BA"/>
    <w:rsid w:val="004E75B9"/>
    <w:rsid w:val="004F49FF"/>
    <w:rsid w:val="004F673E"/>
    <w:rsid w:val="00502C6F"/>
    <w:rsid w:val="0050503E"/>
    <w:rsid w:val="00507182"/>
    <w:rsid w:val="00507720"/>
    <w:rsid w:val="00507CD2"/>
    <w:rsid w:val="00512594"/>
    <w:rsid w:val="00514FF4"/>
    <w:rsid w:val="00543D00"/>
    <w:rsid w:val="00561D61"/>
    <w:rsid w:val="0057214C"/>
    <w:rsid w:val="00573D18"/>
    <w:rsid w:val="00577E3C"/>
    <w:rsid w:val="0058735A"/>
    <w:rsid w:val="005A248B"/>
    <w:rsid w:val="005B0E30"/>
    <w:rsid w:val="005B3F9F"/>
    <w:rsid w:val="005D486A"/>
    <w:rsid w:val="005F540D"/>
    <w:rsid w:val="005F70C7"/>
    <w:rsid w:val="006031D0"/>
    <w:rsid w:val="00607A63"/>
    <w:rsid w:val="00607FA8"/>
    <w:rsid w:val="006164AA"/>
    <w:rsid w:val="00616555"/>
    <w:rsid w:val="00621E30"/>
    <w:rsid w:val="00635809"/>
    <w:rsid w:val="00641CE3"/>
    <w:rsid w:val="00653CAE"/>
    <w:rsid w:val="00654AED"/>
    <w:rsid w:val="0066000F"/>
    <w:rsid w:val="0066246C"/>
    <w:rsid w:val="0066256D"/>
    <w:rsid w:val="0066633F"/>
    <w:rsid w:val="0067218A"/>
    <w:rsid w:val="006723BB"/>
    <w:rsid w:val="006736B2"/>
    <w:rsid w:val="00683413"/>
    <w:rsid w:val="006842B9"/>
    <w:rsid w:val="00694DD7"/>
    <w:rsid w:val="006A0384"/>
    <w:rsid w:val="006A0D6D"/>
    <w:rsid w:val="006A4E2C"/>
    <w:rsid w:val="006A5B8D"/>
    <w:rsid w:val="006C2AD2"/>
    <w:rsid w:val="006E1EE9"/>
    <w:rsid w:val="006E48E2"/>
    <w:rsid w:val="006F7A4D"/>
    <w:rsid w:val="00700C7B"/>
    <w:rsid w:val="007054B0"/>
    <w:rsid w:val="0071038B"/>
    <w:rsid w:val="00713B0D"/>
    <w:rsid w:val="00715D5B"/>
    <w:rsid w:val="00726B97"/>
    <w:rsid w:val="007273D7"/>
    <w:rsid w:val="007316EB"/>
    <w:rsid w:val="007326B3"/>
    <w:rsid w:val="00733A8A"/>
    <w:rsid w:val="007372C3"/>
    <w:rsid w:val="00742230"/>
    <w:rsid w:val="00744AE6"/>
    <w:rsid w:val="007452E3"/>
    <w:rsid w:val="00745EB1"/>
    <w:rsid w:val="00754DD2"/>
    <w:rsid w:val="007553F5"/>
    <w:rsid w:val="007617D3"/>
    <w:rsid w:val="007656BB"/>
    <w:rsid w:val="007656F1"/>
    <w:rsid w:val="00767AA2"/>
    <w:rsid w:val="007712D9"/>
    <w:rsid w:val="00771F9A"/>
    <w:rsid w:val="007B25EF"/>
    <w:rsid w:val="007B7BA5"/>
    <w:rsid w:val="007C1A8A"/>
    <w:rsid w:val="007C4E38"/>
    <w:rsid w:val="007C6662"/>
    <w:rsid w:val="007D2012"/>
    <w:rsid w:val="007D2DC4"/>
    <w:rsid w:val="007E3FBD"/>
    <w:rsid w:val="007E6353"/>
    <w:rsid w:val="007F206E"/>
    <w:rsid w:val="008037CD"/>
    <w:rsid w:val="00810649"/>
    <w:rsid w:val="00815512"/>
    <w:rsid w:val="00816BF2"/>
    <w:rsid w:val="00820DE0"/>
    <w:rsid w:val="008213A5"/>
    <w:rsid w:val="00823413"/>
    <w:rsid w:val="008239BE"/>
    <w:rsid w:val="00825E59"/>
    <w:rsid w:val="00835E0E"/>
    <w:rsid w:val="008379B2"/>
    <w:rsid w:val="00852473"/>
    <w:rsid w:val="00853FF8"/>
    <w:rsid w:val="00857F76"/>
    <w:rsid w:val="00875384"/>
    <w:rsid w:val="00877082"/>
    <w:rsid w:val="00880908"/>
    <w:rsid w:val="008853CD"/>
    <w:rsid w:val="008875EA"/>
    <w:rsid w:val="008913FE"/>
    <w:rsid w:val="008C7E96"/>
    <w:rsid w:val="008D3AC3"/>
    <w:rsid w:val="008D59E4"/>
    <w:rsid w:val="008E717B"/>
    <w:rsid w:val="008F54A2"/>
    <w:rsid w:val="008F6F19"/>
    <w:rsid w:val="0090046C"/>
    <w:rsid w:val="009033BF"/>
    <w:rsid w:val="00915940"/>
    <w:rsid w:val="0092117E"/>
    <w:rsid w:val="00923152"/>
    <w:rsid w:val="009232C7"/>
    <w:rsid w:val="00926C09"/>
    <w:rsid w:val="0092746A"/>
    <w:rsid w:val="0095032A"/>
    <w:rsid w:val="00960228"/>
    <w:rsid w:val="00973598"/>
    <w:rsid w:val="0097684E"/>
    <w:rsid w:val="00983FC5"/>
    <w:rsid w:val="009845B8"/>
    <w:rsid w:val="009922DA"/>
    <w:rsid w:val="009A0C44"/>
    <w:rsid w:val="009A19C2"/>
    <w:rsid w:val="009B0816"/>
    <w:rsid w:val="009D0CC9"/>
    <w:rsid w:val="009D4010"/>
    <w:rsid w:val="009E2756"/>
    <w:rsid w:val="009E4CFD"/>
    <w:rsid w:val="009E5CB9"/>
    <w:rsid w:val="009E6931"/>
    <w:rsid w:val="009F7591"/>
    <w:rsid w:val="00A00B65"/>
    <w:rsid w:val="00A02A8A"/>
    <w:rsid w:val="00A20705"/>
    <w:rsid w:val="00A207FD"/>
    <w:rsid w:val="00A21003"/>
    <w:rsid w:val="00A30B77"/>
    <w:rsid w:val="00A501BC"/>
    <w:rsid w:val="00A62445"/>
    <w:rsid w:val="00A7249F"/>
    <w:rsid w:val="00A74F70"/>
    <w:rsid w:val="00A76955"/>
    <w:rsid w:val="00A812C9"/>
    <w:rsid w:val="00A8185A"/>
    <w:rsid w:val="00A83291"/>
    <w:rsid w:val="00A857C9"/>
    <w:rsid w:val="00AB2A33"/>
    <w:rsid w:val="00AC1EA2"/>
    <w:rsid w:val="00AC2926"/>
    <w:rsid w:val="00AC57E3"/>
    <w:rsid w:val="00AC5E88"/>
    <w:rsid w:val="00AD4179"/>
    <w:rsid w:val="00AD6063"/>
    <w:rsid w:val="00AE439A"/>
    <w:rsid w:val="00AF528B"/>
    <w:rsid w:val="00B263DB"/>
    <w:rsid w:val="00B2677D"/>
    <w:rsid w:val="00B32136"/>
    <w:rsid w:val="00B43A96"/>
    <w:rsid w:val="00B44B9F"/>
    <w:rsid w:val="00B56EA8"/>
    <w:rsid w:val="00B7774F"/>
    <w:rsid w:val="00B83056"/>
    <w:rsid w:val="00B87AE4"/>
    <w:rsid w:val="00B95DDF"/>
    <w:rsid w:val="00BA1E5E"/>
    <w:rsid w:val="00BB3101"/>
    <w:rsid w:val="00BB7CDC"/>
    <w:rsid w:val="00BD0362"/>
    <w:rsid w:val="00BD06A4"/>
    <w:rsid w:val="00BD1CB0"/>
    <w:rsid w:val="00BD1D30"/>
    <w:rsid w:val="00BD2CFD"/>
    <w:rsid w:val="00BD4B1C"/>
    <w:rsid w:val="00BE1064"/>
    <w:rsid w:val="00BE107E"/>
    <w:rsid w:val="00BE219E"/>
    <w:rsid w:val="00BE444D"/>
    <w:rsid w:val="00BE716A"/>
    <w:rsid w:val="00BF4CDB"/>
    <w:rsid w:val="00BF57B4"/>
    <w:rsid w:val="00BF5D4E"/>
    <w:rsid w:val="00BF7332"/>
    <w:rsid w:val="00C0227B"/>
    <w:rsid w:val="00C0597C"/>
    <w:rsid w:val="00C05D6E"/>
    <w:rsid w:val="00C11DCC"/>
    <w:rsid w:val="00C32833"/>
    <w:rsid w:val="00C3303F"/>
    <w:rsid w:val="00C3664D"/>
    <w:rsid w:val="00C377D4"/>
    <w:rsid w:val="00C41AC0"/>
    <w:rsid w:val="00C46BDB"/>
    <w:rsid w:val="00C53F0D"/>
    <w:rsid w:val="00C564CC"/>
    <w:rsid w:val="00C57318"/>
    <w:rsid w:val="00C63F8C"/>
    <w:rsid w:val="00C84794"/>
    <w:rsid w:val="00C867A6"/>
    <w:rsid w:val="00C91F33"/>
    <w:rsid w:val="00CA33AC"/>
    <w:rsid w:val="00CA3DD1"/>
    <w:rsid w:val="00CA4E4F"/>
    <w:rsid w:val="00CA54B2"/>
    <w:rsid w:val="00CB07C5"/>
    <w:rsid w:val="00CB56E2"/>
    <w:rsid w:val="00CC2E09"/>
    <w:rsid w:val="00CD3AA8"/>
    <w:rsid w:val="00CF34AF"/>
    <w:rsid w:val="00CF65D3"/>
    <w:rsid w:val="00D00AD2"/>
    <w:rsid w:val="00D216B0"/>
    <w:rsid w:val="00D40E6A"/>
    <w:rsid w:val="00D431B4"/>
    <w:rsid w:val="00D444D4"/>
    <w:rsid w:val="00D7707F"/>
    <w:rsid w:val="00D8770C"/>
    <w:rsid w:val="00D930D5"/>
    <w:rsid w:val="00D95AA6"/>
    <w:rsid w:val="00DA4FEB"/>
    <w:rsid w:val="00DA53D0"/>
    <w:rsid w:val="00DA62F9"/>
    <w:rsid w:val="00DA6F34"/>
    <w:rsid w:val="00DB04EF"/>
    <w:rsid w:val="00DB312D"/>
    <w:rsid w:val="00DB37D7"/>
    <w:rsid w:val="00DB4CA2"/>
    <w:rsid w:val="00DC4308"/>
    <w:rsid w:val="00DC7D9D"/>
    <w:rsid w:val="00DD517E"/>
    <w:rsid w:val="00DD642E"/>
    <w:rsid w:val="00DE1EC9"/>
    <w:rsid w:val="00DE525E"/>
    <w:rsid w:val="00E07D03"/>
    <w:rsid w:val="00E11FC0"/>
    <w:rsid w:val="00E131AF"/>
    <w:rsid w:val="00E13FCC"/>
    <w:rsid w:val="00E4044E"/>
    <w:rsid w:val="00E5044B"/>
    <w:rsid w:val="00E521DF"/>
    <w:rsid w:val="00E566B1"/>
    <w:rsid w:val="00E62DA8"/>
    <w:rsid w:val="00E7004D"/>
    <w:rsid w:val="00E802C4"/>
    <w:rsid w:val="00E83C2F"/>
    <w:rsid w:val="00E91942"/>
    <w:rsid w:val="00E97452"/>
    <w:rsid w:val="00EB090F"/>
    <w:rsid w:val="00ED1595"/>
    <w:rsid w:val="00ED52E1"/>
    <w:rsid w:val="00ED5E4B"/>
    <w:rsid w:val="00EE3525"/>
    <w:rsid w:val="00EF5DFA"/>
    <w:rsid w:val="00F02DDE"/>
    <w:rsid w:val="00F1101C"/>
    <w:rsid w:val="00F13A2D"/>
    <w:rsid w:val="00F15F34"/>
    <w:rsid w:val="00F216EA"/>
    <w:rsid w:val="00F34ACB"/>
    <w:rsid w:val="00F47BE0"/>
    <w:rsid w:val="00F50FAD"/>
    <w:rsid w:val="00F53740"/>
    <w:rsid w:val="00F55BE3"/>
    <w:rsid w:val="00F564E8"/>
    <w:rsid w:val="00F61F04"/>
    <w:rsid w:val="00F6519A"/>
    <w:rsid w:val="00F71C3B"/>
    <w:rsid w:val="00F76F9D"/>
    <w:rsid w:val="00F860E6"/>
    <w:rsid w:val="00F86D43"/>
    <w:rsid w:val="00F950D3"/>
    <w:rsid w:val="00FA52EF"/>
    <w:rsid w:val="00FB2221"/>
    <w:rsid w:val="00FC1E28"/>
    <w:rsid w:val="00FC2A93"/>
    <w:rsid w:val="00FC46C7"/>
    <w:rsid w:val="00FC4FDA"/>
    <w:rsid w:val="00FE2953"/>
    <w:rsid w:val="00FE78CC"/>
    <w:rsid w:val="00FF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B268"/>
  <w15:docId w15:val="{2AC04FB9-9FE6-431E-AD4F-2ABFB1DE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528B"/>
    <w:pPr>
      <w:ind w:left="720"/>
      <w:contextualSpacing/>
    </w:pPr>
  </w:style>
  <w:style w:type="table" w:styleId="Reetkatablice">
    <w:name w:val="Table Grid"/>
    <w:basedOn w:val="Obinatablica"/>
    <w:uiPriority w:val="39"/>
    <w:rsid w:val="00DA6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51">
    <w:name w:val="Obična tablica 51"/>
    <w:basedOn w:val="Obinatablica"/>
    <w:uiPriority w:val="45"/>
    <w:rsid w:val="00DA6F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51">
    <w:name w:val="Tablica rešetke 4 - isticanje 51"/>
    <w:basedOn w:val="Obinatablica"/>
    <w:uiPriority w:val="49"/>
    <w:rsid w:val="00DA6F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icapopisa3-isticanje11">
    <w:name w:val="Tablica popisa 3- isticanje 11"/>
    <w:basedOn w:val="Obinatablica"/>
    <w:uiPriority w:val="48"/>
    <w:rsid w:val="00DB4CA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C86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67A6"/>
    <w:rPr>
      <w:rFonts w:ascii="Segoe UI" w:hAnsi="Segoe UI" w:cs="Segoe UI"/>
      <w:sz w:val="18"/>
      <w:szCs w:val="18"/>
    </w:rPr>
  </w:style>
  <w:style w:type="table" w:customStyle="1" w:styleId="Tablicareetke4-isticanje11">
    <w:name w:val="Tablica rešetke 4 - isticanje 11"/>
    <w:basedOn w:val="Obinatablica"/>
    <w:uiPriority w:val="49"/>
    <w:rsid w:val="00573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31">
    <w:name w:val="Tablica popisa 3 - isticanje 31"/>
    <w:basedOn w:val="Obinatablica"/>
    <w:uiPriority w:val="48"/>
    <w:rsid w:val="00573D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icapopisa4-isticanje11">
    <w:name w:val="Tablica popisa 4 - isticanje 11"/>
    <w:basedOn w:val="Obinatablica"/>
    <w:uiPriority w:val="49"/>
    <w:rsid w:val="001663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popisa3-isticanje21">
    <w:name w:val="Tablica popisa 3 - isticanje 21"/>
    <w:basedOn w:val="Obinatablica"/>
    <w:uiPriority w:val="48"/>
    <w:rsid w:val="006842B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AD606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607A63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D06A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D06A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857C9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BB3101"/>
    <w:rPr>
      <w:color w:val="0000FF"/>
      <w:u w:val="single"/>
    </w:rPr>
  </w:style>
  <w:style w:type="paragraph" w:customStyle="1" w:styleId="msonormal0">
    <w:name w:val="msonormal"/>
    <w:basedOn w:val="Normal"/>
    <w:rsid w:val="00BB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1">
    <w:name w:val="xl71"/>
    <w:basedOn w:val="Normal"/>
    <w:rsid w:val="00BB3101"/>
    <w:pPr>
      <w:pBdr>
        <w:top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2">
    <w:name w:val="xl72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24"/>
      <w:szCs w:val="24"/>
      <w:lang w:eastAsia="hr-HR"/>
    </w:rPr>
  </w:style>
  <w:style w:type="paragraph" w:customStyle="1" w:styleId="xl73">
    <w:name w:val="xl73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4">
    <w:name w:val="xl74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BB3101"/>
    <w:pPr>
      <w:pBdr>
        <w:top w:val="single" w:sz="4" w:space="0" w:color="C0C0C0"/>
        <w:left w:val="single" w:sz="4" w:space="0" w:color="00000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6">
    <w:name w:val="xl76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77">
    <w:name w:val="xl77"/>
    <w:basedOn w:val="Normal"/>
    <w:rsid w:val="00BB3101"/>
    <w:pPr>
      <w:pBdr>
        <w:top w:val="single" w:sz="4" w:space="0" w:color="C0C0C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78">
    <w:name w:val="xl78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BB3101"/>
    <w:pPr>
      <w:pBdr>
        <w:top w:val="single" w:sz="4" w:space="0" w:color="000000"/>
        <w:left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0">
    <w:name w:val="xl80"/>
    <w:basedOn w:val="Normal"/>
    <w:rsid w:val="00BB3101"/>
    <w:pPr>
      <w:pBdr>
        <w:top w:val="single" w:sz="4" w:space="0" w:color="000000"/>
        <w:left w:val="single" w:sz="4" w:space="0" w:color="00008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BB3101"/>
    <w:pPr>
      <w:pBdr>
        <w:top w:val="single" w:sz="4" w:space="0" w:color="000000"/>
        <w:right w:val="single" w:sz="4" w:space="0" w:color="00008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82">
    <w:name w:val="xl82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4">
    <w:name w:val="xl84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5">
    <w:name w:val="xl85"/>
    <w:basedOn w:val="Normal"/>
    <w:rsid w:val="00BB3101"/>
    <w:pPr>
      <w:pBdr>
        <w:top w:val="single" w:sz="4" w:space="0" w:color="00000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D0D0D"/>
      <w:sz w:val="18"/>
      <w:szCs w:val="18"/>
      <w:lang w:eastAsia="hr-HR"/>
    </w:rPr>
  </w:style>
  <w:style w:type="paragraph" w:customStyle="1" w:styleId="xl86">
    <w:name w:val="xl86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000000"/>
        <w:right w:val="single" w:sz="4" w:space="0" w:color="00008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7">
    <w:name w:val="xl87"/>
    <w:basedOn w:val="Normal"/>
    <w:rsid w:val="00BB3101"/>
    <w:pPr>
      <w:pBdr>
        <w:left w:val="single" w:sz="4" w:space="0" w:color="000080"/>
        <w:bottom w:val="single" w:sz="4" w:space="0" w:color="000000"/>
        <w:right w:val="single" w:sz="4" w:space="0" w:color="000000"/>
      </w:pBdr>
      <w:shd w:val="clear" w:color="FFFFCC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80"/>
      <w:sz w:val="18"/>
      <w:szCs w:val="18"/>
      <w:lang w:eastAsia="hr-HR"/>
    </w:rPr>
  </w:style>
  <w:style w:type="paragraph" w:customStyle="1" w:styleId="xl88">
    <w:name w:val="xl88"/>
    <w:basedOn w:val="Normal"/>
    <w:rsid w:val="00BB3101"/>
    <w:pPr>
      <w:pBdr>
        <w:top w:val="single" w:sz="4" w:space="0" w:color="000000"/>
        <w:left w:val="single" w:sz="4" w:space="0" w:color="000000"/>
        <w:bottom w:val="single" w:sz="4" w:space="0" w:color="C0C0C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8"/>
      <w:szCs w:val="18"/>
      <w:lang w:eastAsia="hr-HR"/>
    </w:rPr>
  </w:style>
  <w:style w:type="paragraph" w:customStyle="1" w:styleId="xl89">
    <w:name w:val="xl89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8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6"/>
      <w:szCs w:val="16"/>
      <w:lang w:eastAsia="hr-HR"/>
    </w:rPr>
  </w:style>
  <w:style w:type="paragraph" w:customStyle="1" w:styleId="xl90">
    <w:name w:val="xl90"/>
    <w:basedOn w:val="Normal"/>
    <w:rsid w:val="00BB3101"/>
    <w:pPr>
      <w:pBdr>
        <w:top w:val="single" w:sz="4" w:space="0" w:color="000000"/>
        <w:left w:val="single" w:sz="4" w:space="0" w:color="000080"/>
        <w:bottom w:val="single" w:sz="4" w:space="0" w:color="C0C0C0"/>
        <w:right w:val="single" w:sz="4" w:space="0" w:color="000000"/>
      </w:pBdr>
      <w:shd w:val="clear" w:color="DBE5F1" w:fill="DBE5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C0C0C"/>
      <w:sz w:val="16"/>
      <w:szCs w:val="16"/>
      <w:lang w:eastAsia="hr-HR"/>
    </w:rPr>
  </w:style>
  <w:style w:type="paragraph" w:customStyle="1" w:styleId="xl91">
    <w:name w:val="xl91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80"/>
      <w:sz w:val="16"/>
      <w:szCs w:val="16"/>
      <w:lang w:eastAsia="hr-HR"/>
    </w:rPr>
  </w:style>
  <w:style w:type="paragraph" w:customStyle="1" w:styleId="xl92">
    <w:name w:val="xl92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4">
    <w:name w:val="xl94"/>
    <w:basedOn w:val="Normal"/>
    <w:rsid w:val="00BB3101"/>
    <w:pPr>
      <w:pBdr>
        <w:top w:val="single" w:sz="4" w:space="0" w:color="C0C0C0"/>
        <w:left w:val="single" w:sz="4" w:space="0" w:color="000080"/>
        <w:bottom w:val="single" w:sz="4" w:space="0" w:color="C0C0C0"/>
        <w:right w:val="single" w:sz="4" w:space="0" w:color="00008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5">
    <w:name w:val="xl95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6">
    <w:name w:val="xl96"/>
    <w:basedOn w:val="Normal"/>
    <w:rsid w:val="00BB310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7">
    <w:name w:val="xl97"/>
    <w:basedOn w:val="Normal"/>
    <w:rsid w:val="00BB310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8">
    <w:name w:val="xl98"/>
    <w:basedOn w:val="Normal"/>
    <w:rsid w:val="00BB310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D0CC9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39"/>
    <w:rsid w:val="00ED1595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ED1595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ED1595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52F2-2F18-4D80-9373-0DC30029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3154</Words>
  <Characters>17982</Characters>
  <Application>Microsoft Office Word</Application>
  <DocSecurity>0</DocSecurity>
  <Lines>149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DRAGANIĆ</dc:creator>
  <cp:lastModifiedBy>Korisnik</cp:lastModifiedBy>
  <cp:revision>18</cp:revision>
  <cp:lastPrinted>2022-10-10T07:22:00Z</cp:lastPrinted>
  <dcterms:created xsi:type="dcterms:W3CDTF">2023-02-15T07:45:00Z</dcterms:created>
  <dcterms:modified xsi:type="dcterms:W3CDTF">2023-02-15T09:02:00Z</dcterms:modified>
</cp:coreProperties>
</file>