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08FE4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AC0900B" wp14:editId="6AC0900C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0B36375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6AC08FE5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shd w:val="clear" w:color="auto" w:fill="D6E3BC" w:themeFill="accent3" w:themeFillTint="6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21307A" w14:paraId="6AC08FE8" w14:textId="77777777" w:rsidTr="0021307A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76923C" w:themeFill="accent3" w:themeFillShade="BF"/>
          </w:tcPr>
          <w:p w14:paraId="6AC08FE6" w14:textId="77777777" w:rsidR="001D7128" w:rsidRPr="0021307A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08FE7" w14:textId="77777777" w:rsidR="001D7128" w:rsidRPr="0021307A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  <w:sz w:val="20"/>
                <w:szCs w:val="20"/>
                <w:lang w:val="fr-FR"/>
              </w:rPr>
            </w:pP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z w:val="20"/>
                <w:szCs w:val="20"/>
                <w:lang w:val="fr-FR"/>
              </w:rPr>
              <w:t>S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  <w:sz w:val="20"/>
                <w:szCs w:val="20"/>
                <w:lang w:val="fr-FR"/>
              </w:rPr>
              <w:t>T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z w:val="20"/>
                <w:szCs w:val="20"/>
                <w:lang w:val="fr-FR"/>
              </w:rPr>
              <w:t>AN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  <w:sz w:val="20"/>
                <w:szCs w:val="20"/>
                <w:lang w:val="fr-FR"/>
              </w:rPr>
              <w:t>D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z w:val="20"/>
                <w:szCs w:val="20"/>
                <w:lang w:val="fr-FR"/>
              </w:rPr>
              <w:t>ARDNI OB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sz w:val="20"/>
                <w:szCs w:val="20"/>
                <w:lang w:val="fr-FR"/>
              </w:rPr>
              <w:t>R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  <w:sz w:val="20"/>
                <w:szCs w:val="20"/>
                <w:lang w:val="fr-FR"/>
              </w:rPr>
              <w:t>A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sz w:val="20"/>
                <w:szCs w:val="20"/>
                <w:lang w:val="fr-FR"/>
              </w:rPr>
              <w:t>Z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  <w:sz w:val="20"/>
                <w:szCs w:val="20"/>
                <w:lang w:val="fr-FR"/>
              </w:rPr>
              <w:t>A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z w:val="20"/>
                <w:szCs w:val="20"/>
                <w:lang w:val="fr-FR"/>
              </w:rPr>
              <w:t>C SADR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sz w:val="20"/>
                <w:szCs w:val="20"/>
                <w:lang w:val="fr-FR"/>
              </w:rPr>
              <w:t>Ž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  <w:sz w:val="20"/>
                <w:szCs w:val="20"/>
                <w:lang w:val="fr-FR"/>
              </w:rPr>
              <w:t>A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z w:val="20"/>
                <w:szCs w:val="20"/>
                <w:lang w:val="fr-FR"/>
              </w:rPr>
              <w:t>JA DOKUMEN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  <w:sz w:val="20"/>
                <w:szCs w:val="20"/>
                <w:lang w:val="fr-FR"/>
              </w:rPr>
              <w:t>T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z w:val="20"/>
                <w:szCs w:val="20"/>
                <w:lang w:val="fr-FR"/>
              </w:rPr>
              <w:t xml:space="preserve">A 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sz w:val="20"/>
                <w:szCs w:val="20"/>
                <w:lang w:val="fr-FR"/>
              </w:rPr>
              <w:t>Z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z w:val="20"/>
                <w:szCs w:val="20"/>
                <w:lang w:val="fr-FR"/>
              </w:rPr>
              <w:t>A S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  <w:sz w:val="20"/>
                <w:szCs w:val="20"/>
                <w:lang w:val="fr-FR"/>
              </w:rPr>
              <w:t>A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  <w:sz w:val="20"/>
                <w:szCs w:val="20"/>
                <w:lang w:val="fr-FR"/>
              </w:rPr>
              <w:t>V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z w:val="20"/>
                <w:szCs w:val="20"/>
                <w:lang w:val="fr-FR"/>
              </w:rPr>
              <w:t>JE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  <w:sz w:val="20"/>
                <w:szCs w:val="20"/>
                <w:lang w:val="fr-FR"/>
              </w:rPr>
              <w:t>T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  <w:sz w:val="20"/>
                <w:szCs w:val="20"/>
                <w:lang w:val="fr-FR"/>
              </w:rPr>
              <w:t>O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  <w:sz w:val="20"/>
                <w:szCs w:val="20"/>
                <w:lang w:val="fr-FR"/>
              </w:rPr>
              <w:t>V</w:t>
            </w:r>
            <w:r w:rsidRPr="0021307A">
              <w:rPr>
                <w:rFonts w:ascii="Times New Roman" w:eastAsia="Myriad Pro" w:hAnsi="Times New Roman" w:cs="Times New Roman"/>
                <w:b/>
                <w:bCs/>
                <w:color w:val="FFFFFF"/>
                <w:sz w:val="20"/>
                <w:szCs w:val="20"/>
                <w:lang w:val="fr-FR"/>
              </w:rPr>
              <w:t>ANJE</w:t>
            </w:r>
          </w:p>
        </w:tc>
      </w:tr>
      <w:tr w:rsidR="001D7128" w:rsidRPr="0021307A" w14:paraId="6AC08FEE" w14:textId="77777777" w:rsidTr="0021307A">
        <w:trPr>
          <w:trHeight w:hRule="exact" w:val="435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6E3BC" w:themeFill="accent3" w:themeFillTint="66"/>
          </w:tcPr>
          <w:p w14:paraId="6AC08FEB" w14:textId="77777777" w:rsidR="001D7128" w:rsidRPr="0021307A" w:rsidRDefault="00B13212" w:rsidP="0021307A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sz w:val="20"/>
                <w:szCs w:val="20"/>
              </w:rPr>
            </w:pP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Nasl</w:t>
            </w:r>
            <w:r w:rsidRPr="0021307A">
              <w:rPr>
                <w:rFonts w:ascii="Times New Roman" w:eastAsia="Myriad Pro" w:hAnsi="Times New Roman" w:cs="Times New Roman"/>
                <w:color w:val="231F20"/>
                <w:spacing w:val="-2"/>
                <w:sz w:val="20"/>
                <w:szCs w:val="20"/>
              </w:rPr>
              <w:t>o</w:t>
            </w: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v</w:t>
            </w:r>
            <w:proofErr w:type="spellEnd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dokumenta</w:t>
            </w:r>
            <w:proofErr w:type="spellEnd"/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6E3BC" w:themeFill="accent3" w:themeFillTint="66"/>
          </w:tcPr>
          <w:p w14:paraId="6AC08FED" w14:textId="6702CA57" w:rsidR="001D7128" w:rsidRPr="0021307A" w:rsidRDefault="00C37B09" w:rsidP="0021307A">
            <w:pPr>
              <w:spacing w:after="0" w:line="240" w:lineRule="auto"/>
              <w:ind w:right="186"/>
              <w:rPr>
                <w:rFonts w:ascii="Times New Roman" w:eastAsia="Myriad Pro" w:hAnsi="Times New Roman" w:cs="Times New Roman"/>
                <w:sz w:val="20"/>
                <w:szCs w:val="20"/>
              </w:rPr>
            </w:pPr>
            <w:r w:rsidRPr="0021307A">
              <w:rPr>
                <w:rFonts w:ascii="Times New Roman" w:eastAsia="Myriad Pro" w:hAnsi="Times New Roman" w:cs="Times New Roman"/>
                <w:sz w:val="20"/>
                <w:szCs w:val="20"/>
              </w:rPr>
              <w:t xml:space="preserve">NACRT </w:t>
            </w:r>
            <w:r w:rsidR="00847425" w:rsidRPr="0021307A">
              <w:rPr>
                <w:rFonts w:ascii="Times New Roman" w:eastAsia="Myriad Pro" w:hAnsi="Times New Roman" w:cs="Times New Roman"/>
                <w:sz w:val="20"/>
                <w:szCs w:val="20"/>
              </w:rPr>
              <w:t>ODLUK</w:t>
            </w:r>
            <w:r w:rsidR="000B37BC" w:rsidRPr="0021307A">
              <w:rPr>
                <w:rFonts w:ascii="Times New Roman" w:eastAsia="Myriad Pro" w:hAnsi="Times New Roman" w:cs="Times New Roman"/>
                <w:sz w:val="20"/>
                <w:szCs w:val="20"/>
              </w:rPr>
              <w:t>E</w:t>
            </w:r>
            <w:r w:rsidR="00847425" w:rsidRPr="0021307A">
              <w:rPr>
                <w:rFonts w:ascii="Times New Roman" w:eastAsia="Myriad Pro" w:hAnsi="Times New Roman" w:cs="Times New Roman"/>
                <w:sz w:val="20"/>
                <w:szCs w:val="20"/>
              </w:rPr>
              <w:t xml:space="preserve"> O VRIJEDNOSTI BODA KOMUNALNE NAKNADE</w:t>
            </w:r>
          </w:p>
        </w:tc>
      </w:tr>
      <w:tr w:rsidR="001D7128" w:rsidRPr="0021307A" w14:paraId="6AC08FF2" w14:textId="77777777" w:rsidTr="0021307A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6E3BC" w:themeFill="accent3" w:themeFillTint="66"/>
          </w:tcPr>
          <w:p w14:paraId="6AC08FEF" w14:textId="77777777" w:rsidR="001D7128" w:rsidRPr="0021307A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sz w:val="20"/>
                <w:szCs w:val="20"/>
              </w:rPr>
            </w:pP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S</w:t>
            </w:r>
            <w:r w:rsidRPr="0021307A">
              <w:rPr>
                <w:rFonts w:ascii="Times New Roman" w:eastAsia="Myriad Pro" w:hAnsi="Times New Roman" w:cs="Times New Roman"/>
                <w:color w:val="231F20"/>
                <w:spacing w:val="2"/>
                <w:sz w:val="20"/>
                <w:szCs w:val="20"/>
              </w:rPr>
              <w:t>t</w:t>
            </w: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vara</w:t>
            </w:r>
            <w:r w:rsidRPr="0021307A">
              <w:rPr>
                <w:rFonts w:ascii="Times New Roman" w:eastAsia="Myriad Pro" w:hAnsi="Times New Roman" w:cs="Times New Roman"/>
                <w:color w:val="231F20"/>
                <w:spacing w:val="-1"/>
                <w:sz w:val="20"/>
                <w:szCs w:val="20"/>
              </w:rPr>
              <w:t>t</w:t>
            </w: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elj</w:t>
            </w:r>
            <w:proofErr w:type="spellEnd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dokumenta</w:t>
            </w:r>
            <w:proofErr w:type="spellEnd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tijelo</w:t>
            </w:r>
            <w:proofErr w:type="spellEnd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koje</w:t>
            </w:r>
            <w:proofErr w:type="spellEnd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p</w:t>
            </w:r>
            <w:r w:rsidRPr="0021307A">
              <w:rPr>
                <w:rFonts w:ascii="Times New Roman" w:eastAsia="Myriad Pro" w:hAnsi="Times New Roman" w:cs="Times New Roman"/>
                <w:color w:val="231F20"/>
                <w:spacing w:val="-2"/>
                <w:sz w:val="20"/>
                <w:szCs w:val="20"/>
              </w:rPr>
              <w:t>rov</w:t>
            </w: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odi</w:t>
            </w:r>
            <w:proofErr w:type="spellEnd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s</w:t>
            </w:r>
            <w:r w:rsidRPr="0021307A">
              <w:rPr>
                <w:rFonts w:ascii="Times New Roman" w:eastAsia="Myriad Pro" w:hAnsi="Times New Roman" w:cs="Times New Roman"/>
                <w:color w:val="231F20"/>
                <w:spacing w:val="-2"/>
                <w:sz w:val="20"/>
                <w:szCs w:val="20"/>
              </w:rPr>
              <w:t>a</w:t>
            </w: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vje</w:t>
            </w:r>
            <w:r w:rsidRPr="0021307A">
              <w:rPr>
                <w:rFonts w:ascii="Times New Roman" w:eastAsia="Myriad Pro" w:hAnsi="Times New Roman" w:cs="Times New Roman"/>
                <w:color w:val="231F20"/>
                <w:spacing w:val="-1"/>
                <w:sz w:val="20"/>
                <w:szCs w:val="20"/>
              </w:rPr>
              <w:t>t</w:t>
            </w:r>
            <w:r w:rsidRPr="0021307A">
              <w:rPr>
                <w:rFonts w:ascii="Times New Roman" w:eastAsia="Myriad Pro" w:hAnsi="Times New Roman" w:cs="Times New Roman"/>
                <w:color w:val="231F20"/>
                <w:spacing w:val="-2"/>
                <w:sz w:val="20"/>
                <w:szCs w:val="20"/>
              </w:rPr>
              <w:t>o</w:t>
            </w:r>
            <w:r w:rsidRPr="0021307A">
              <w:rPr>
                <w:rFonts w:ascii="Times New Roman" w:eastAsia="Myriad Pro" w:hAnsi="Times New Roman" w:cs="Times New Roman"/>
                <w:color w:val="231F20"/>
                <w:spacing w:val="-1"/>
                <w:sz w:val="20"/>
                <w:szCs w:val="20"/>
              </w:rPr>
              <w:t>v</w:t>
            </w: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anje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6E3BC" w:themeFill="accent3" w:themeFillTint="66"/>
          </w:tcPr>
          <w:p w14:paraId="6AC08FF0" w14:textId="60AAA10D" w:rsidR="001D7128" w:rsidRPr="0021307A" w:rsidRDefault="00BA3826" w:rsidP="005340ED">
            <w:pPr>
              <w:spacing w:before="16" w:after="0" w:line="280" w:lineRule="exact"/>
              <w:ind w:left="213" w:right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21307A">
              <w:rPr>
                <w:rFonts w:ascii="Times New Roman" w:hAnsi="Times New Roman" w:cs="Times New Roman"/>
                <w:sz w:val="20"/>
                <w:szCs w:val="20"/>
              </w:rPr>
              <w:t xml:space="preserve">Općina </w:t>
            </w:r>
            <w:proofErr w:type="spellStart"/>
            <w:r w:rsidRPr="0021307A">
              <w:rPr>
                <w:rFonts w:ascii="Times New Roman" w:hAnsi="Times New Roman" w:cs="Times New Roman"/>
                <w:sz w:val="20"/>
                <w:szCs w:val="20"/>
              </w:rPr>
              <w:t>Draganić</w:t>
            </w:r>
            <w:proofErr w:type="spellEnd"/>
          </w:p>
          <w:p w14:paraId="1AB40FA2" w14:textId="0028CDC1" w:rsidR="00E15B98" w:rsidRPr="0021307A" w:rsidRDefault="00E15B98" w:rsidP="00E15B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307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="0021307A" w:rsidRPr="0021307A">
              <w:rPr>
                <w:rFonts w:ascii="Times New Roman" w:hAnsi="Times New Roman" w:cs="Times New Roman"/>
                <w:sz w:val="20"/>
                <w:szCs w:val="20"/>
              </w:rPr>
              <w:t>Jedinstveni</w:t>
            </w:r>
            <w:proofErr w:type="spellEnd"/>
            <w:r w:rsidR="0021307A" w:rsidRPr="00213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307A" w:rsidRPr="0021307A">
              <w:rPr>
                <w:rFonts w:ascii="Times New Roman" w:hAnsi="Times New Roman" w:cs="Times New Roman"/>
                <w:sz w:val="20"/>
                <w:szCs w:val="20"/>
              </w:rPr>
              <w:t>upravni</w:t>
            </w:r>
            <w:proofErr w:type="spellEnd"/>
            <w:r w:rsidR="0021307A" w:rsidRPr="00213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307A" w:rsidRPr="0021307A">
              <w:rPr>
                <w:rFonts w:ascii="Times New Roman" w:hAnsi="Times New Roman" w:cs="Times New Roman"/>
                <w:sz w:val="20"/>
                <w:szCs w:val="20"/>
              </w:rPr>
              <w:t>odjel</w:t>
            </w:r>
            <w:proofErr w:type="spellEnd"/>
          </w:p>
          <w:p w14:paraId="6AC08FF1" w14:textId="77777777" w:rsidR="001D7128" w:rsidRPr="0021307A" w:rsidRDefault="001D7128" w:rsidP="005340ED">
            <w:pPr>
              <w:spacing w:after="0" w:line="240" w:lineRule="auto"/>
              <w:ind w:left="213" w:right="186"/>
              <w:rPr>
                <w:rFonts w:ascii="Times New Roman" w:eastAsia="Myriad Pro" w:hAnsi="Times New Roman" w:cs="Times New Roman"/>
                <w:b/>
                <w:sz w:val="20"/>
                <w:szCs w:val="20"/>
              </w:rPr>
            </w:pPr>
          </w:p>
        </w:tc>
      </w:tr>
      <w:tr w:rsidR="001D7128" w:rsidRPr="0021307A" w14:paraId="6AC08FF5" w14:textId="77777777" w:rsidTr="0021307A">
        <w:trPr>
          <w:trHeight w:hRule="exact" w:val="1295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6E3BC" w:themeFill="accent3" w:themeFillTint="66"/>
          </w:tcPr>
          <w:p w14:paraId="6AC08FF3" w14:textId="77777777" w:rsidR="001D7128" w:rsidRPr="0021307A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sz w:val="20"/>
                <w:szCs w:val="20"/>
              </w:rPr>
            </w:pP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pacing w:val="-2"/>
                <w:sz w:val="20"/>
                <w:szCs w:val="20"/>
              </w:rPr>
              <w:t>S</w:t>
            </w: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vrha</w:t>
            </w:r>
            <w:proofErr w:type="spellEnd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dokumenta</w:t>
            </w:r>
            <w:proofErr w:type="spellEnd"/>
            <w:r w:rsidR="005340ED"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 / </w:t>
            </w:r>
            <w:proofErr w:type="spellStart"/>
            <w:r w:rsidR="00D14424"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obrazloženje</w:t>
            </w:r>
            <w:proofErr w:type="spellEnd"/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6E3BC" w:themeFill="accent3" w:themeFillTint="66"/>
          </w:tcPr>
          <w:p w14:paraId="07399695" w14:textId="77777777" w:rsidR="0021307A" w:rsidRPr="0021307A" w:rsidRDefault="0021307A" w:rsidP="0021307A">
            <w:pPr>
              <w:spacing w:before="35" w:after="0" w:line="240" w:lineRule="auto"/>
              <w:ind w:left="213" w:right="186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je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Zakonom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o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komunalnom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gospodarstvu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(u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daljnjem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tekstu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: ZKG)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propisano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novčano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javno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davanje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plaća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za: 1.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stambeni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prostor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, 2.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garažni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prostor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, 3.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poslovni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prostor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, 4.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građevinsko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zemljište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služi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obavljanju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poslovne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djelatnosti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5. </w:t>
            </w:r>
            <w:proofErr w:type="spellStart"/>
            <w:proofErr w:type="gram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neizgrađeno</w:t>
            </w:r>
            <w:proofErr w:type="spellEnd"/>
            <w:proofErr w:type="gram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građevinsko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zemljište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koristi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se za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financiranje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održavanja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građenja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infrastrukture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, a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može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temelju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odluke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predstavničkog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tijela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jedinice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lokalne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samouprave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koristiti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za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financiranje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građenja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održavanja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objekata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predškolskog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školskog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zdravstvenog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socijalnog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sadržaja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javnih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građevina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sportske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kulturne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namjene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te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poboljšanja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energetske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učinkovitosti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zgrada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u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vlasništvu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jedinice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lokalne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samouprave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ako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se time ne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dovodi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u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pitanje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mogućnost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održavanja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građenja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infrastrukture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.</w:t>
            </w:r>
          </w:p>
          <w:p w14:paraId="475293D7" w14:textId="77777777" w:rsidR="0021307A" w:rsidRPr="0021307A" w:rsidRDefault="0021307A" w:rsidP="0021307A">
            <w:pPr>
              <w:spacing w:before="35" w:after="0" w:line="240" w:lineRule="auto"/>
              <w:ind w:left="213" w:right="186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</w:p>
          <w:p w14:paraId="088F7628" w14:textId="33B86A63" w:rsidR="0021307A" w:rsidRPr="0021307A" w:rsidRDefault="0021307A" w:rsidP="0021307A">
            <w:pPr>
              <w:spacing w:before="35" w:after="0" w:line="240" w:lineRule="auto"/>
              <w:ind w:left="213" w:right="186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obračunava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četvornome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metru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(m²)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površine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nekretnine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za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koju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utvrđuje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obveza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plaćanja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to za: 1.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stambeni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poslovni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garažni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prostor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jedinici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korisne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površine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koja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utvrđuje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način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propisan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Uredbom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o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uvjetima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mjer</w:t>
            </w:r>
            <w:r>
              <w:rPr>
                <w:rFonts w:ascii="Times New Roman" w:eastAsia="Myriad Pro" w:hAnsi="Times New Roman" w:cs="Times New Roman"/>
                <w:sz w:val="16"/>
                <w:szCs w:val="16"/>
              </w:rPr>
              <w:t>ilima</w:t>
            </w:r>
            <w:proofErr w:type="spellEnd"/>
            <w:r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za </w:t>
            </w:r>
            <w:proofErr w:type="spellStart"/>
            <w:r>
              <w:rPr>
                <w:rFonts w:ascii="Times New Roman" w:eastAsia="Myriad Pro" w:hAnsi="Times New Roman" w:cs="Times New Roman"/>
                <w:sz w:val="16"/>
                <w:szCs w:val="16"/>
              </w:rPr>
              <w:t>utvrđivanje</w:t>
            </w:r>
            <w:proofErr w:type="spellEnd"/>
            <w:r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  <w:sz w:val="16"/>
                <w:szCs w:val="16"/>
              </w:rPr>
              <w:t>zaštićene</w:t>
            </w:r>
            <w:proofErr w:type="spellEnd"/>
            <w:r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najamnine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(»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Narodne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novine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«, br. 40/97.),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2. </w:t>
            </w:r>
            <w:proofErr w:type="gram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za</w:t>
            </w:r>
            <w:proofErr w:type="gram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građevinsko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zemljište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služi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obavljanju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poslovne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djelatnosti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neizgrađeno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građevinsko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zemljište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jedinici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stvarne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površine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Iznos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četvornome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metru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(m²)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površine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nekretnine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utvrđuje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množenjem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koeficijenta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zone (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Kz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),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koeficijenta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namjene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Kn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)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vrijednosti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boda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(B).</w:t>
            </w:r>
          </w:p>
          <w:p w14:paraId="02B4975B" w14:textId="77777777" w:rsidR="0021307A" w:rsidRPr="0021307A" w:rsidRDefault="0021307A" w:rsidP="0021307A">
            <w:pPr>
              <w:spacing w:before="35" w:after="0" w:line="240" w:lineRule="auto"/>
              <w:ind w:left="213" w:right="186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</w:p>
          <w:p w14:paraId="651F21B9" w14:textId="77777777" w:rsidR="0021307A" w:rsidRPr="0021307A" w:rsidRDefault="0021307A" w:rsidP="0021307A">
            <w:pPr>
              <w:spacing w:before="35" w:after="0" w:line="240" w:lineRule="auto"/>
              <w:ind w:left="213" w:right="186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ZKG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propisuje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da se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područja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zona u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jedinici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lokalne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samouprave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u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kojima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naplaćuje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određuju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s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obzirom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uređenost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opremljenost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područja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komunalnom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infrastrukturom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. Prva zona je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područje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jedinice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lokalne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samouprave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je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najbolje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uređeno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opremljeno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komunalnom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infrastrukturom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Koeficijent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zone (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Kz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)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najviši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je za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prvu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zonu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iznosi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1</w:t>
            </w:r>
            <w:proofErr w:type="gram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,00</w:t>
            </w:r>
            <w:proofErr w:type="gram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.</w:t>
            </w:r>
          </w:p>
          <w:p w14:paraId="765DA1BA" w14:textId="77777777" w:rsidR="0021307A" w:rsidRPr="0021307A" w:rsidRDefault="0021307A" w:rsidP="0021307A">
            <w:pPr>
              <w:spacing w:before="35" w:after="0" w:line="240" w:lineRule="auto"/>
              <w:ind w:left="213" w:right="186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</w:p>
          <w:p w14:paraId="01126684" w14:textId="77777777" w:rsidR="0021307A" w:rsidRPr="0021307A" w:rsidRDefault="0021307A" w:rsidP="0021307A">
            <w:pPr>
              <w:spacing w:before="35" w:after="0" w:line="240" w:lineRule="auto"/>
              <w:ind w:left="213" w:right="186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Koeficijent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namjene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Kn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)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ovisno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o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vrsti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nekretnine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djelatnosti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koja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obavlja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iznosi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za: 1.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stambeni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prostor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1,00; 2.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stambeni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poslovni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prostor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koji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koriste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neprofitne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udruge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građana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1,00; 3.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garažni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prostor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1,00; 4.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poslovni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prostor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koji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služi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za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proizvodne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djelatnosti ne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može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biti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manji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od 1,00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veći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od 5,00; 5.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poslovni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prostor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koji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služi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za djelatnosti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nisu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proizvodne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ne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može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biti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manji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od 1,00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veći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od 10,00; 6.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građevinsko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zemljište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služi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obavljanju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poslovne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djelatnosti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može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biti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najviše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10%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koeficijenta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namjene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koji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je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određen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za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poslovni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prostor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; 7.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neizgrađeno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građevinsko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zemljište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0,05.</w:t>
            </w:r>
          </w:p>
          <w:p w14:paraId="39F398DD" w14:textId="77777777" w:rsidR="0021307A" w:rsidRPr="0021307A" w:rsidRDefault="0021307A" w:rsidP="0021307A">
            <w:pPr>
              <w:spacing w:before="35" w:after="0" w:line="240" w:lineRule="auto"/>
              <w:ind w:left="213" w:right="186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</w:p>
          <w:p w14:paraId="513C37FE" w14:textId="0498426D" w:rsidR="0021307A" w:rsidRPr="0021307A" w:rsidRDefault="0021307A" w:rsidP="0021307A">
            <w:pPr>
              <w:spacing w:before="35" w:after="0" w:line="240" w:lineRule="auto"/>
              <w:ind w:left="213" w:right="186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Sukladno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odredbama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članka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98. ZKG-a,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predstavničko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tijelo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jedinice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lokalne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samouprave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do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kraja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studenoga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tekuće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godine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donosi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odluku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kojom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određuje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vrijednost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boda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(B)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koja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primjenjuje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od 1. </w:t>
            </w:r>
            <w:proofErr w:type="spellStart"/>
            <w:proofErr w:type="gram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siječnja</w:t>
            </w:r>
            <w:proofErr w:type="spellEnd"/>
            <w:proofErr w:type="gram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iduće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godine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Vrijednost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boda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(B)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određuje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se u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eurima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četvornome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metru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(m²)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korisne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površine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stambenog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prostora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u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prvoj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zoni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jedinice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lokalne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samouprave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. </w:t>
            </w:r>
          </w:p>
          <w:p w14:paraId="0E3CEB2F" w14:textId="77777777" w:rsidR="0021307A" w:rsidRPr="0021307A" w:rsidRDefault="0021307A" w:rsidP="0021307A">
            <w:pPr>
              <w:spacing w:before="35" w:after="0" w:line="240" w:lineRule="auto"/>
              <w:ind w:left="213" w:right="186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</w:p>
          <w:p w14:paraId="521730BB" w14:textId="77777777" w:rsidR="0021307A" w:rsidRPr="0021307A" w:rsidRDefault="0021307A" w:rsidP="0021307A">
            <w:pPr>
              <w:spacing w:before="35" w:after="0" w:line="240" w:lineRule="auto"/>
              <w:ind w:left="213" w:right="186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Sukladno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odredbama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članka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101. ZKG-a,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rješenjem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o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komunalnoj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utvrđuje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se: 1.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iznos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četvornome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metru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(m²)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nekretnine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; 2. </w:t>
            </w:r>
            <w:proofErr w:type="spellStart"/>
            <w:proofErr w:type="gram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obračunska</w:t>
            </w:r>
            <w:proofErr w:type="spellEnd"/>
            <w:proofErr w:type="gram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površina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nekretnine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; 3. </w:t>
            </w:r>
            <w:proofErr w:type="spellStart"/>
            <w:proofErr w:type="gram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godišnji</w:t>
            </w:r>
            <w:proofErr w:type="spellEnd"/>
            <w:proofErr w:type="gram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iznos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; 4. </w:t>
            </w:r>
            <w:proofErr w:type="spellStart"/>
            <w:proofErr w:type="gram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mjesečni</w:t>
            </w:r>
            <w:proofErr w:type="spellEnd"/>
            <w:proofErr w:type="gram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iznos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odnosno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iznos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obroka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ako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ne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plaća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mjesečno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; 5. </w:t>
            </w:r>
            <w:proofErr w:type="spellStart"/>
            <w:proofErr w:type="gram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rok</w:t>
            </w:r>
            <w:proofErr w:type="spellEnd"/>
            <w:proofErr w:type="gram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za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plaćanje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mjesečnog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iznosa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odnosno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iznosa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obroka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ako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ne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plaća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mjesečno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. 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Godišnji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iznos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utvrđuje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množenjem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površine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nekretnine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za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koju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utvrđuje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obveza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plaćanja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iznosa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četvornome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metru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(m²)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površine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nekretnine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.</w:t>
            </w:r>
          </w:p>
          <w:p w14:paraId="5EB55AC9" w14:textId="77777777" w:rsidR="0021307A" w:rsidRPr="0021307A" w:rsidRDefault="0021307A" w:rsidP="0021307A">
            <w:pPr>
              <w:spacing w:before="35" w:after="0" w:line="240" w:lineRule="auto"/>
              <w:ind w:left="213" w:right="186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</w:p>
          <w:p w14:paraId="6E68BD97" w14:textId="6875A718" w:rsidR="0021307A" w:rsidRPr="0021307A" w:rsidRDefault="0021307A" w:rsidP="0021307A">
            <w:pPr>
              <w:spacing w:before="35" w:after="0" w:line="240" w:lineRule="auto"/>
              <w:ind w:left="213" w:right="186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Sadašnja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vrijednost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boda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za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područje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  <w:sz w:val="16"/>
                <w:szCs w:val="16"/>
              </w:rPr>
              <w:t>Općine</w:t>
            </w:r>
            <w:proofErr w:type="spellEnd"/>
            <w:r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  <w:sz w:val="16"/>
                <w:szCs w:val="16"/>
              </w:rPr>
              <w:t>Draganić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propisana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je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Odlukom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o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vrijednosti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boda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(„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Glasnik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Karlovačke županije</w:t>
            </w:r>
            <w:proofErr w:type="gram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“ br</w:t>
            </w:r>
            <w:proofErr w:type="gram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. 48/18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50/18) s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primjenom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od 1. </w:t>
            </w:r>
            <w:proofErr w:type="spellStart"/>
            <w:proofErr w:type="gram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siječnja</w:t>
            </w:r>
            <w:proofErr w:type="spellEnd"/>
            <w:proofErr w:type="gram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2019. </w:t>
            </w:r>
            <w:proofErr w:type="spellStart"/>
            <w:proofErr w:type="gram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godine</w:t>
            </w:r>
            <w:proofErr w:type="spellEnd"/>
            <w:proofErr w:type="gram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iznosi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5,40 HRK/m2 (0,71 EUR/m2)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godišnjoj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razini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.</w:t>
            </w:r>
          </w:p>
          <w:p w14:paraId="433E2B43" w14:textId="77777777" w:rsidR="0021307A" w:rsidRPr="0021307A" w:rsidRDefault="0021307A" w:rsidP="0021307A">
            <w:pPr>
              <w:spacing w:before="35" w:after="0" w:line="240" w:lineRule="auto"/>
              <w:ind w:left="213" w:right="186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</w:p>
          <w:p w14:paraId="2C8EF43B" w14:textId="2BE1C464" w:rsidR="0021307A" w:rsidRPr="0021307A" w:rsidRDefault="0021307A" w:rsidP="0021307A">
            <w:pPr>
              <w:spacing w:before="35" w:after="0" w:line="240" w:lineRule="auto"/>
              <w:ind w:left="213" w:right="186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U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međuvremenu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porasle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cijene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materijala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radova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, a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također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opseg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standard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održavanja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infrastrukture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uslijed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čega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su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prihodi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osnovi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naknade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znatno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manji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od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troškova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koji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se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zbog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toga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moraju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dodatno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financirati</w:t>
            </w:r>
            <w:proofErr w:type="spellEnd"/>
            <w:r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  <w:sz w:val="16"/>
                <w:szCs w:val="16"/>
              </w:rPr>
              <w:t>iz</w:t>
            </w:r>
            <w:proofErr w:type="spellEnd"/>
            <w:r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  <w:sz w:val="16"/>
                <w:szCs w:val="16"/>
              </w:rPr>
              <w:t>drugih</w:t>
            </w:r>
            <w:proofErr w:type="spellEnd"/>
            <w:r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  <w:sz w:val="16"/>
                <w:szCs w:val="16"/>
              </w:rPr>
              <w:t>proračunskih</w:t>
            </w:r>
            <w:proofErr w:type="spellEnd"/>
            <w:r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  <w:sz w:val="16"/>
                <w:szCs w:val="16"/>
              </w:rPr>
              <w:t>izvora</w:t>
            </w:r>
            <w:proofErr w:type="spellEnd"/>
            <w:r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. </w:t>
            </w:r>
          </w:p>
          <w:p w14:paraId="0F37FCD5" w14:textId="77777777" w:rsidR="0021307A" w:rsidRDefault="0021307A" w:rsidP="0021307A">
            <w:pPr>
              <w:spacing w:before="35" w:after="0" w:line="240" w:lineRule="auto"/>
              <w:ind w:left="213" w:right="186"/>
              <w:jc w:val="both"/>
              <w:rPr>
                <w:rFonts w:ascii="Times New Roman" w:eastAsia="Myriad Pro" w:hAnsi="Times New Roman" w:cs="Times New Roman"/>
                <w:sz w:val="16"/>
                <w:szCs w:val="16"/>
              </w:rPr>
            </w:pPr>
          </w:p>
          <w:p w14:paraId="6AC08FF4" w14:textId="49D9F22A" w:rsidR="005340ED" w:rsidRPr="0021307A" w:rsidRDefault="00D45905" w:rsidP="00752515">
            <w:pPr>
              <w:spacing w:before="35" w:after="0" w:line="240" w:lineRule="auto"/>
              <w:ind w:left="213" w:right="186"/>
              <w:jc w:val="both"/>
              <w:rPr>
                <w:rFonts w:ascii="Times New Roman" w:eastAsia="Myriad Pro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Myriad Pro" w:hAnsi="Times New Roman" w:cs="Times New Roman"/>
                <w:sz w:val="16"/>
                <w:szCs w:val="16"/>
              </w:rPr>
              <w:t>Slijedom</w:t>
            </w:r>
            <w:proofErr w:type="spellEnd"/>
            <w:r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Myriad Pro" w:hAnsi="Times New Roman" w:cs="Times New Roman"/>
                <w:sz w:val="16"/>
                <w:szCs w:val="16"/>
              </w:rPr>
              <w:t>navedenog</w:t>
            </w:r>
            <w:proofErr w:type="spellEnd"/>
            <w:r w:rsidR="00752515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21307A"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predlažemo</w:t>
            </w:r>
            <w:proofErr w:type="spellEnd"/>
            <w:r w:rsidR="0021307A"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da se nova </w:t>
            </w:r>
            <w:proofErr w:type="spellStart"/>
            <w:r w:rsidR="0021307A"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vrijednost</w:t>
            </w:r>
            <w:proofErr w:type="spellEnd"/>
            <w:r w:rsidR="0021307A"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1307A"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boda</w:t>
            </w:r>
            <w:proofErr w:type="spellEnd"/>
            <w:r w:rsidR="0021307A"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1307A"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komunalne</w:t>
            </w:r>
            <w:proofErr w:type="spellEnd"/>
            <w:r w:rsidR="0021307A"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1307A"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naknade</w:t>
            </w:r>
            <w:proofErr w:type="spellEnd"/>
            <w:r w:rsidR="0021307A"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21307A"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odredi</w:t>
            </w:r>
            <w:proofErr w:type="spellEnd"/>
            <w:r w:rsidR="0021307A"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u </w:t>
            </w:r>
            <w:proofErr w:type="spellStart"/>
            <w:r w:rsidR="0021307A"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iznosu</w:t>
            </w:r>
            <w:proofErr w:type="spellEnd"/>
            <w:r w:rsidR="0021307A"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1</w:t>
            </w:r>
            <w:proofErr w:type="gramStart"/>
            <w:r w:rsidR="0021307A"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>,32</w:t>
            </w:r>
            <w:proofErr w:type="gramEnd"/>
            <w:r w:rsidR="0021307A" w:rsidRPr="0021307A">
              <w:rPr>
                <w:rFonts w:ascii="Times New Roman" w:eastAsia="Myriad Pro" w:hAnsi="Times New Roman" w:cs="Times New Roman"/>
                <w:sz w:val="16"/>
                <w:szCs w:val="16"/>
              </w:rPr>
              <w:t xml:space="preserve"> EUR/m2.</w:t>
            </w:r>
          </w:p>
        </w:tc>
      </w:tr>
      <w:tr w:rsidR="001D7128" w:rsidRPr="0021307A" w14:paraId="6AC08FF8" w14:textId="77777777" w:rsidTr="0021307A">
        <w:trPr>
          <w:trHeight w:hRule="exact" w:val="69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6E3BC" w:themeFill="accent3" w:themeFillTint="66"/>
          </w:tcPr>
          <w:p w14:paraId="6AC08FF6" w14:textId="61D25E3C" w:rsidR="001D7128" w:rsidRPr="0021307A" w:rsidRDefault="00B13212" w:rsidP="00752515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sz w:val="20"/>
                <w:szCs w:val="20"/>
              </w:rPr>
            </w:pP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lastRenderedPageBreak/>
              <w:t>Datum</w:t>
            </w:r>
            <w:r w:rsidR="00752515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: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6E3BC" w:themeFill="accent3" w:themeFillTint="66"/>
          </w:tcPr>
          <w:p w14:paraId="6AC08FF7" w14:textId="25214A14" w:rsidR="001D7128" w:rsidRPr="0021307A" w:rsidRDefault="0021307A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yriad Pro" w:hAnsi="Times New Roman" w:cs="Times New Roman"/>
                <w:bCs/>
                <w:sz w:val="20"/>
                <w:szCs w:val="20"/>
              </w:rPr>
              <w:t>23</w:t>
            </w:r>
            <w:r w:rsidR="00246186" w:rsidRPr="0021307A">
              <w:rPr>
                <w:rFonts w:ascii="Times New Roman" w:eastAsia="Myriad Pro" w:hAnsi="Times New Roman" w:cs="Times New Roman"/>
                <w:bCs/>
                <w:sz w:val="20"/>
                <w:szCs w:val="20"/>
              </w:rPr>
              <w:t>.</w:t>
            </w:r>
            <w:r w:rsidR="00BA3826" w:rsidRPr="0021307A">
              <w:rPr>
                <w:rFonts w:ascii="Times New Roman" w:eastAsia="Myriad Pro" w:hAnsi="Times New Roman" w:cs="Times New Roman"/>
                <w:bCs/>
                <w:sz w:val="20"/>
                <w:szCs w:val="20"/>
              </w:rPr>
              <w:t>10</w:t>
            </w:r>
            <w:r w:rsidR="00246186" w:rsidRPr="0021307A">
              <w:rPr>
                <w:rFonts w:ascii="Times New Roman" w:eastAsia="Myriad Pro" w:hAnsi="Times New Roman" w:cs="Times New Roman"/>
                <w:bCs/>
                <w:sz w:val="20"/>
                <w:szCs w:val="20"/>
              </w:rPr>
              <w:t>.</w:t>
            </w:r>
            <w:r w:rsidR="00CC7166" w:rsidRPr="0021307A">
              <w:rPr>
                <w:rFonts w:ascii="Times New Roman" w:eastAsia="Myriad Pro" w:hAnsi="Times New Roman" w:cs="Times New Roman"/>
                <w:bCs/>
                <w:sz w:val="20"/>
                <w:szCs w:val="20"/>
              </w:rPr>
              <w:t>2025.</w:t>
            </w:r>
          </w:p>
        </w:tc>
      </w:tr>
      <w:tr w:rsidR="001D7128" w:rsidRPr="0021307A" w14:paraId="6AC08FFA" w14:textId="77777777" w:rsidTr="0021307A">
        <w:trPr>
          <w:trHeight w:hRule="exact" w:val="100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6E3BC" w:themeFill="accent3" w:themeFillTint="66"/>
          </w:tcPr>
          <w:p w14:paraId="6AC08FF9" w14:textId="0D8BD349" w:rsidR="001D7128" w:rsidRPr="0021307A" w:rsidRDefault="00B13212" w:rsidP="00B62D39">
            <w:pPr>
              <w:spacing w:before="37" w:after="0" w:line="260" w:lineRule="exact"/>
              <w:ind w:left="265" w:right="645" w:hanging="157"/>
              <w:rPr>
                <w:rFonts w:ascii="Times New Roman" w:eastAsia="Myriad Pro" w:hAnsi="Times New Roman" w:cs="Times New Roman"/>
                <w:sz w:val="20"/>
                <w:szCs w:val="20"/>
              </w:rPr>
            </w:pP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–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me</w:t>
            </w:r>
            <w:r w:rsidRPr="0021307A">
              <w:rPr>
                <w:rFonts w:ascii="Times New Roman" w:eastAsia="Myriad Pro" w:hAnsi="Times New Roman" w:cs="Times New Roman"/>
                <w:color w:val="231F20"/>
                <w:spacing w:val="-1"/>
                <w:sz w:val="20"/>
                <w:szCs w:val="20"/>
              </w:rPr>
              <w:t>t</w:t>
            </w: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oda</w:t>
            </w:r>
            <w:proofErr w:type="spellEnd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s</w:t>
            </w:r>
            <w:r w:rsidRPr="0021307A">
              <w:rPr>
                <w:rFonts w:ascii="Times New Roman" w:eastAsia="Myriad Pro" w:hAnsi="Times New Roman" w:cs="Times New Roman"/>
                <w:color w:val="231F20"/>
                <w:spacing w:val="-2"/>
                <w:sz w:val="20"/>
                <w:szCs w:val="20"/>
              </w:rPr>
              <w:t>a</w:t>
            </w: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vje</w:t>
            </w:r>
            <w:r w:rsidRPr="0021307A">
              <w:rPr>
                <w:rFonts w:ascii="Times New Roman" w:eastAsia="Myriad Pro" w:hAnsi="Times New Roman" w:cs="Times New Roman"/>
                <w:color w:val="231F20"/>
                <w:spacing w:val="-1"/>
                <w:sz w:val="20"/>
                <w:szCs w:val="20"/>
              </w:rPr>
              <w:t>t</w:t>
            </w:r>
            <w:r w:rsidRPr="0021307A">
              <w:rPr>
                <w:rFonts w:ascii="Times New Roman" w:eastAsia="Myriad Pro" w:hAnsi="Times New Roman" w:cs="Times New Roman"/>
                <w:color w:val="231F20"/>
                <w:spacing w:val="-2"/>
                <w:sz w:val="20"/>
                <w:szCs w:val="20"/>
              </w:rPr>
              <w:t>o</w:t>
            </w:r>
            <w:r w:rsidRPr="0021307A">
              <w:rPr>
                <w:rFonts w:ascii="Times New Roman" w:eastAsia="Myriad Pro" w:hAnsi="Times New Roman" w:cs="Times New Roman"/>
                <w:color w:val="231F20"/>
                <w:spacing w:val="-1"/>
                <w:sz w:val="20"/>
                <w:szCs w:val="20"/>
              </w:rPr>
              <w:t>v</w:t>
            </w: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anja</w:t>
            </w:r>
            <w:proofErr w:type="spellEnd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koja</w:t>
            </w:r>
            <w:proofErr w:type="spellEnd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pacing w:val="-1"/>
                <w:sz w:val="20"/>
                <w:szCs w:val="20"/>
              </w:rPr>
              <w:t>ć</w:t>
            </w: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e</w:t>
            </w:r>
            <w:proofErr w:type="spellEnd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 se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primijeniti</w:t>
            </w:r>
            <w:proofErr w:type="spellEnd"/>
            <w:r w:rsidR="005340ED"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:</w:t>
            </w:r>
            <w:r w:rsidRPr="00213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7166" w:rsidRPr="0021307A">
              <w:rPr>
                <w:rFonts w:ascii="Times New Roman" w:hAnsi="Times New Roman" w:cs="Times New Roman"/>
                <w:sz w:val="20"/>
                <w:szCs w:val="20"/>
              </w:rPr>
              <w:t xml:space="preserve">web </w:t>
            </w:r>
            <w:proofErr w:type="spellStart"/>
            <w:r w:rsidR="00CC7166" w:rsidRPr="0021307A">
              <w:rPr>
                <w:rFonts w:ascii="Times New Roman" w:hAnsi="Times New Roman" w:cs="Times New Roman"/>
                <w:sz w:val="20"/>
                <w:szCs w:val="20"/>
              </w:rPr>
              <w:t>savjetovanje</w:t>
            </w:r>
            <w:proofErr w:type="spellEnd"/>
            <w:r w:rsidR="00CC7166" w:rsidRPr="0021307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hyperlink r:id="rId9" w:history="1">
              <w:r w:rsidR="00BA3826" w:rsidRPr="0021307A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www.draganic.hr</w:t>
              </w:r>
            </w:hyperlink>
            <w:r w:rsidR="00BC71A3" w:rsidRPr="00213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D7128" w:rsidRPr="0021307A" w14:paraId="6AC09000" w14:textId="77777777" w:rsidTr="0021307A">
        <w:trPr>
          <w:trHeight w:hRule="exact" w:val="579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6E3BC" w:themeFill="accent3" w:themeFillTint="66"/>
          </w:tcPr>
          <w:p w14:paraId="6AC08FFF" w14:textId="350B013C" w:rsidR="001D7128" w:rsidRPr="0021307A" w:rsidRDefault="00B13212" w:rsidP="00B62D39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sz w:val="20"/>
                <w:szCs w:val="20"/>
              </w:rPr>
            </w:pP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–</w:t>
            </w:r>
            <w:r w:rsidRPr="0021307A">
              <w:rPr>
                <w:rFonts w:ascii="Times New Roman" w:eastAsia="Myriad Pro" w:hAnsi="Times New Roman" w:cs="Times New Roman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1307A">
              <w:rPr>
                <w:rFonts w:ascii="Times New Roman" w:eastAsia="Myriad Pro" w:hAnsi="Times New Roman" w:cs="Times New Roman"/>
                <w:color w:val="231F20"/>
                <w:spacing w:val="-2"/>
                <w:sz w:val="20"/>
                <w:szCs w:val="20"/>
              </w:rPr>
              <w:t>r</w:t>
            </w: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ok</w:t>
            </w:r>
            <w:proofErr w:type="spellEnd"/>
            <w:proofErr w:type="gramEnd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zaprimanja</w:t>
            </w:r>
            <w:proofErr w:type="spellEnd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odg</w:t>
            </w:r>
            <w:r w:rsidRPr="0021307A">
              <w:rPr>
                <w:rFonts w:ascii="Times New Roman" w:eastAsia="Myriad Pro" w:hAnsi="Times New Roman" w:cs="Times New Roman"/>
                <w:color w:val="231F20"/>
                <w:spacing w:val="-2"/>
                <w:sz w:val="20"/>
                <w:szCs w:val="20"/>
              </w:rPr>
              <w:t>ov</w:t>
            </w: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ora</w:t>
            </w:r>
            <w:proofErr w:type="spellEnd"/>
            <w:r w:rsidR="00765E6B"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: </w:t>
            </w:r>
            <w:r w:rsid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24</w:t>
            </w:r>
            <w:r w:rsidR="00ED5402"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.</w:t>
            </w:r>
            <w:r w:rsid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11</w:t>
            </w:r>
            <w:r w:rsidR="00ED5402"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.2025.</w:t>
            </w:r>
          </w:p>
        </w:tc>
      </w:tr>
      <w:tr w:rsidR="001D7128" w:rsidRPr="0021307A" w14:paraId="6AC09005" w14:textId="77777777" w:rsidTr="0021307A">
        <w:trPr>
          <w:trHeight w:hRule="exact" w:val="182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6E3BC" w:themeFill="accent3" w:themeFillTint="66"/>
          </w:tcPr>
          <w:p w14:paraId="6AC09001" w14:textId="7DC3793E" w:rsidR="005340ED" w:rsidRPr="0021307A" w:rsidRDefault="00B13212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</w:pP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–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osobe</w:t>
            </w:r>
            <w:proofErr w:type="spellEnd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koj</w:t>
            </w:r>
            <w:r w:rsidR="004844FA"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ima</w:t>
            </w:r>
            <w:proofErr w:type="spellEnd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 se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sudionici</w:t>
            </w:r>
            <w:proofErr w:type="spellEnd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s</w:t>
            </w:r>
            <w:r w:rsidRPr="0021307A">
              <w:rPr>
                <w:rFonts w:ascii="Times New Roman" w:eastAsia="Myriad Pro" w:hAnsi="Times New Roman" w:cs="Times New Roman"/>
                <w:color w:val="231F20"/>
                <w:spacing w:val="-2"/>
                <w:sz w:val="20"/>
                <w:szCs w:val="20"/>
              </w:rPr>
              <w:t>a</w:t>
            </w: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vje</w:t>
            </w:r>
            <w:r w:rsidRPr="0021307A">
              <w:rPr>
                <w:rFonts w:ascii="Times New Roman" w:eastAsia="Myriad Pro" w:hAnsi="Times New Roman" w:cs="Times New Roman"/>
                <w:color w:val="231F20"/>
                <w:spacing w:val="-1"/>
                <w:sz w:val="20"/>
                <w:szCs w:val="20"/>
              </w:rPr>
              <w:t>t</w:t>
            </w:r>
            <w:r w:rsidRPr="0021307A">
              <w:rPr>
                <w:rFonts w:ascii="Times New Roman" w:eastAsia="Myriad Pro" w:hAnsi="Times New Roman" w:cs="Times New Roman"/>
                <w:color w:val="231F20"/>
                <w:spacing w:val="-2"/>
                <w:sz w:val="20"/>
                <w:szCs w:val="20"/>
              </w:rPr>
              <w:t>o</w:t>
            </w:r>
            <w:r w:rsidRPr="0021307A">
              <w:rPr>
                <w:rFonts w:ascii="Times New Roman" w:eastAsia="Myriad Pro" w:hAnsi="Times New Roman" w:cs="Times New Roman"/>
                <w:color w:val="231F20"/>
                <w:spacing w:val="-1"/>
                <w:sz w:val="20"/>
                <w:szCs w:val="20"/>
              </w:rPr>
              <w:t>v</w:t>
            </w: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anja</w:t>
            </w:r>
            <w:proofErr w:type="spellEnd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mogu</w:t>
            </w:r>
            <w:proofErr w:type="spellEnd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obratiti</w:t>
            </w:r>
            <w:proofErr w:type="spellEnd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 za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dodatne</w:t>
            </w:r>
            <w:proofErr w:type="spellEnd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upi</w:t>
            </w:r>
            <w:r w:rsidRPr="0021307A">
              <w:rPr>
                <w:rFonts w:ascii="Times New Roman" w:eastAsia="Myriad Pro" w:hAnsi="Times New Roman" w:cs="Times New Roman"/>
                <w:color w:val="231F20"/>
                <w:spacing w:val="-1"/>
                <w:sz w:val="20"/>
                <w:szCs w:val="20"/>
              </w:rPr>
              <w:t>t</w:t>
            </w: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>e</w:t>
            </w:r>
            <w:proofErr w:type="spellEnd"/>
            <w:r w:rsidR="005340ED"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  <w:t xml:space="preserve">: </w:t>
            </w:r>
          </w:p>
          <w:p w14:paraId="6AC09002" w14:textId="77777777" w:rsidR="005340ED" w:rsidRPr="0021307A" w:rsidRDefault="005340ED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sz w:val="20"/>
                <w:szCs w:val="20"/>
              </w:rPr>
            </w:pPr>
          </w:p>
          <w:p w14:paraId="48299D2E" w14:textId="199DDA2C" w:rsidR="00570B62" w:rsidRPr="0021307A" w:rsidRDefault="00BA3826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fr-FR"/>
              </w:rPr>
            </w:pP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fr-FR"/>
              </w:rPr>
              <w:t>Sven Starešinčić</w:t>
            </w:r>
            <w:r w:rsidR="00570B62"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fr-FR"/>
              </w:rPr>
              <w:t xml:space="preserve">, </w:t>
            </w:r>
            <w:r w:rsidR="000F1D08"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fr-FR"/>
              </w:rPr>
              <w:t xml:space="preserve">tel. </w:t>
            </w:r>
            <w:r w:rsidR="00570B62"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fr-FR"/>
              </w:rPr>
              <w:t>047</w:t>
            </w:r>
            <w:r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fr-FR"/>
              </w:rPr>
              <w:t>715136</w:t>
            </w:r>
            <w:r w:rsidR="00937429"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fr-FR"/>
              </w:rPr>
              <w:t>,</w:t>
            </w:r>
            <w:r w:rsidR="000F1D08"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fr-FR"/>
              </w:rPr>
              <w:t xml:space="preserve"> e-mail</w:t>
            </w:r>
            <w:r w:rsidR="00937429"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fr-FR"/>
              </w:rPr>
              <w:t xml:space="preserve"> </w:t>
            </w:r>
            <w:hyperlink r:id="rId10" w:history="1">
              <w:r w:rsidRPr="0021307A">
                <w:rPr>
                  <w:rStyle w:val="Hiperveza"/>
                  <w:rFonts w:ascii="Times New Roman" w:eastAsia="Myriad Pro" w:hAnsi="Times New Roman" w:cs="Times New Roman"/>
                  <w:sz w:val="20"/>
                  <w:szCs w:val="20"/>
                  <w:lang w:val="fr-FR"/>
                </w:rPr>
                <w:t>procelnik@draganic.hr</w:t>
              </w:r>
            </w:hyperlink>
            <w:r w:rsidR="00937429" w:rsidRPr="0021307A"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fr-FR"/>
              </w:rPr>
              <w:t xml:space="preserve"> </w:t>
            </w:r>
          </w:p>
          <w:p w14:paraId="2D1E9E9B" w14:textId="77777777" w:rsidR="000F1D08" w:rsidRPr="0021307A" w:rsidRDefault="000F1D08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color w:val="231F20"/>
                <w:sz w:val="20"/>
                <w:szCs w:val="20"/>
                <w:lang w:val="fr-FR"/>
              </w:rPr>
            </w:pPr>
          </w:p>
          <w:p w14:paraId="6AC09004" w14:textId="48354F7E" w:rsidR="005340ED" w:rsidRPr="0021307A" w:rsidRDefault="005340ED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sz w:val="20"/>
                <w:szCs w:val="20"/>
                <w:lang w:val="fr-FR"/>
              </w:rPr>
            </w:pPr>
          </w:p>
        </w:tc>
      </w:tr>
      <w:tr w:rsidR="001D7128" w:rsidRPr="0021307A" w14:paraId="6AC09007" w14:textId="77777777" w:rsidTr="0021307A">
        <w:trPr>
          <w:trHeight w:hRule="exact" w:val="1537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6E3BC" w:themeFill="accent3" w:themeFillTint="66"/>
          </w:tcPr>
          <w:p w14:paraId="6AC09006" w14:textId="77777777" w:rsidR="001D7128" w:rsidRPr="0021307A" w:rsidRDefault="00B13212" w:rsidP="005340ED">
            <w:pPr>
              <w:pStyle w:val="Odlomakpopisa"/>
              <w:numPr>
                <w:ilvl w:val="0"/>
                <w:numId w:val="1"/>
              </w:numPr>
              <w:spacing w:before="37" w:after="0" w:line="260" w:lineRule="exact"/>
              <w:ind w:right="598"/>
              <w:rPr>
                <w:rFonts w:ascii="Times New Roman" w:eastAsia="Myriad Pro" w:hAnsi="Times New Roman" w:cs="Times New Roman"/>
                <w:bCs/>
                <w:sz w:val="20"/>
                <w:szCs w:val="20"/>
              </w:rPr>
            </w:pPr>
            <w:proofErr w:type="spellStart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>odg</w:t>
            </w:r>
            <w:r w:rsidRPr="0021307A">
              <w:rPr>
                <w:rFonts w:ascii="Times New Roman" w:eastAsia="Myriad Pro" w:hAnsi="Times New Roman" w:cs="Times New Roman"/>
                <w:bCs/>
                <w:color w:val="231F20"/>
                <w:spacing w:val="-2"/>
                <w:sz w:val="20"/>
                <w:szCs w:val="20"/>
              </w:rPr>
              <w:t>ov</w:t>
            </w:r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>ori</w:t>
            </w:r>
            <w:proofErr w:type="spellEnd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5340ED"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>će</w:t>
            </w:r>
            <w:proofErr w:type="spellEnd"/>
            <w:r w:rsidR="005340ED"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>biti</w:t>
            </w:r>
            <w:proofErr w:type="spellEnd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>dostupni</w:t>
            </w:r>
            <w:proofErr w:type="spellEnd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 xml:space="preserve">,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>osim</w:t>
            </w:r>
            <w:proofErr w:type="spellEnd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bCs/>
                <w:color w:val="231F20"/>
                <w:spacing w:val="4"/>
                <w:sz w:val="20"/>
                <w:szCs w:val="20"/>
              </w:rPr>
              <w:t>k</w:t>
            </w:r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>ada</w:t>
            </w:r>
            <w:proofErr w:type="spellEnd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 xml:space="preserve"> je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>onaj</w:t>
            </w:r>
            <w:proofErr w:type="spellEnd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>koji</w:t>
            </w:r>
            <w:proofErr w:type="spellEnd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 xml:space="preserve"> je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>poslao</w:t>
            </w:r>
            <w:proofErr w:type="spellEnd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>odg</w:t>
            </w:r>
            <w:r w:rsidRPr="0021307A">
              <w:rPr>
                <w:rFonts w:ascii="Times New Roman" w:eastAsia="Myriad Pro" w:hAnsi="Times New Roman" w:cs="Times New Roman"/>
                <w:bCs/>
                <w:color w:val="231F20"/>
                <w:spacing w:val="-2"/>
                <w:sz w:val="20"/>
                <w:szCs w:val="20"/>
              </w:rPr>
              <w:t>ov</w:t>
            </w:r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>or</w:t>
            </w:r>
            <w:proofErr w:type="spellEnd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>tražio</w:t>
            </w:r>
            <w:proofErr w:type="spellEnd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 xml:space="preserve"> da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>ostanu</w:t>
            </w:r>
            <w:proofErr w:type="spellEnd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>p</w:t>
            </w:r>
            <w:r w:rsidRPr="0021307A">
              <w:rPr>
                <w:rFonts w:ascii="Times New Roman" w:eastAsia="Myriad Pro" w:hAnsi="Times New Roman" w:cs="Times New Roman"/>
                <w:bCs/>
                <w:color w:val="231F20"/>
                <w:spacing w:val="-2"/>
                <w:sz w:val="20"/>
                <w:szCs w:val="20"/>
              </w:rPr>
              <w:t>o</w:t>
            </w:r>
            <w:r w:rsidRPr="0021307A">
              <w:rPr>
                <w:rFonts w:ascii="Times New Roman" w:eastAsia="Myriad Pro" w:hAnsi="Times New Roman" w:cs="Times New Roman"/>
                <w:bCs/>
                <w:color w:val="231F20"/>
                <w:sz w:val="20"/>
                <w:szCs w:val="20"/>
              </w:rPr>
              <w:t>vjerljivi</w:t>
            </w:r>
            <w:proofErr w:type="spellEnd"/>
          </w:p>
        </w:tc>
      </w:tr>
    </w:tbl>
    <w:p w14:paraId="6AC0900A" w14:textId="107006B4" w:rsidR="00142E03" w:rsidRDefault="00142E03" w:rsidP="005E5EEF">
      <w:pPr>
        <w:spacing w:before="7" w:after="0" w:line="120" w:lineRule="exact"/>
      </w:pPr>
    </w:p>
    <w:p w14:paraId="53C54FF2" w14:textId="77777777" w:rsidR="00142E03" w:rsidRDefault="00142E03" w:rsidP="005E5EEF">
      <w:pPr>
        <w:spacing w:before="7" w:after="0" w:line="120" w:lineRule="exact"/>
      </w:pPr>
    </w:p>
    <w:p w14:paraId="29E91E23" w14:textId="77777777" w:rsidR="00142E03" w:rsidRDefault="00142E03" w:rsidP="005E5EEF">
      <w:pPr>
        <w:spacing w:before="7" w:after="0" w:line="120" w:lineRule="exact"/>
      </w:pPr>
    </w:p>
    <w:p w14:paraId="0564FFE9" w14:textId="77777777" w:rsidR="00142E03" w:rsidRDefault="00142E03" w:rsidP="005E5EEF">
      <w:pPr>
        <w:spacing w:before="7" w:after="0" w:line="120" w:lineRule="exact"/>
      </w:pPr>
    </w:p>
    <w:p w14:paraId="5F092C88" w14:textId="77777777" w:rsidR="00142E03" w:rsidRDefault="00142E03" w:rsidP="00142E03">
      <w:pPr>
        <w:spacing w:after="0" w:line="240" w:lineRule="auto"/>
        <w:jc w:val="both"/>
        <w:rPr>
          <w:rFonts w:ascii="Times New Roman" w:hAnsi="Times New Roman"/>
        </w:rPr>
      </w:pPr>
    </w:p>
    <w:p w14:paraId="4429D5AA" w14:textId="77777777" w:rsidR="00787D9A" w:rsidRDefault="00787D9A" w:rsidP="00787D9A">
      <w:pPr>
        <w:spacing w:after="0" w:line="240" w:lineRule="auto"/>
        <w:jc w:val="both"/>
        <w:rPr>
          <w:rFonts w:ascii="Times New Roman" w:hAnsi="Times New Roman"/>
        </w:rPr>
      </w:pPr>
    </w:p>
    <w:p w14:paraId="13F6C0AA" w14:textId="77777777" w:rsidR="00787D9A" w:rsidRDefault="00787D9A" w:rsidP="00787D9A">
      <w:pPr>
        <w:spacing w:after="0" w:line="240" w:lineRule="auto"/>
        <w:jc w:val="both"/>
        <w:rPr>
          <w:rFonts w:ascii="Times New Roman" w:hAnsi="Times New Roman"/>
        </w:rPr>
      </w:pPr>
    </w:p>
    <w:p w14:paraId="7C49EE6E" w14:textId="77777777" w:rsidR="00787D9A" w:rsidRDefault="00787D9A" w:rsidP="00787D9A">
      <w:pPr>
        <w:spacing w:after="0" w:line="240" w:lineRule="auto"/>
        <w:jc w:val="both"/>
        <w:rPr>
          <w:rFonts w:ascii="Times New Roman" w:hAnsi="Times New Roman"/>
        </w:rPr>
      </w:pPr>
    </w:p>
    <w:p w14:paraId="3F4E8EF2" w14:textId="77777777" w:rsidR="00142E03" w:rsidRDefault="00142E03" w:rsidP="00142E03">
      <w:pPr>
        <w:spacing w:after="0" w:line="240" w:lineRule="auto"/>
        <w:jc w:val="both"/>
        <w:rPr>
          <w:rFonts w:ascii="Times New Roman" w:hAnsi="Times New Roman"/>
        </w:rPr>
      </w:pPr>
    </w:p>
    <w:sectPr w:rsidR="00142E03" w:rsidSect="00B71000">
      <w:footerReference w:type="default" r:id="rId11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165FC" w14:textId="77777777" w:rsidR="00F20B6C" w:rsidRDefault="00F20B6C" w:rsidP="001D7128">
      <w:pPr>
        <w:spacing w:after="0" w:line="240" w:lineRule="auto"/>
      </w:pPr>
      <w:r>
        <w:separator/>
      </w:r>
    </w:p>
  </w:endnote>
  <w:endnote w:type="continuationSeparator" w:id="0">
    <w:p w14:paraId="162C442A" w14:textId="77777777" w:rsidR="00F20B6C" w:rsidRDefault="00F20B6C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09011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C09012" wp14:editId="6AC09013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09014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AC090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6AC09014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C078C" w14:textId="77777777" w:rsidR="00F20B6C" w:rsidRDefault="00F20B6C" w:rsidP="001D7128">
      <w:pPr>
        <w:spacing w:after="0" w:line="240" w:lineRule="auto"/>
      </w:pPr>
      <w:r>
        <w:separator/>
      </w:r>
    </w:p>
  </w:footnote>
  <w:footnote w:type="continuationSeparator" w:id="0">
    <w:p w14:paraId="6992F0CE" w14:textId="77777777" w:rsidR="00F20B6C" w:rsidRDefault="00F20B6C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2E70"/>
    <w:multiLevelType w:val="hybridMultilevel"/>
    <w:tmpl w:val="97C04A80"/>
    <w:lvl w:ilvl="0" w:tplc="580E83FA">
      <w:start w:val="13"/>
      <w:numFmt w:val="bullet"/>
      <w:lvlText w:val="–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128"/>
    <w:rsid w:val="00015283"/>
    <w:rsid w:val="00036319"/>
    <w:rsid w:val="00046661"/>
    <w:rsid w:val="00066F84"/>
    <w:rsid w:val="00075BBA"/>
    <w:rsid w:val="000B37BC"/>
    <w:rsid w:val="000E6452"/>
    <w:rsid w:val="000F1D08"/>
    <w:rsid w:val="000F33A9"/>
    <w:rsid w:val="00101830"/>
    <w:rsid w:val="00101B3F"/>
    <w:rsid w:val="00142E03"/>
    <w:rsid w:val="001D7128"/>
    <w:rsid w:val="0021307A"/>
    <w:rsid w:val="00243844"/>
    <w:rsid w:val="00246186"/>
    <w:rsid w:val="00250AF3"/>
    <w:rsid w:val="002540BB"/>
    <w:rsid w:val="00292B86"/>
    <w:rsid w:val="002E701C"/>
    <w:rsid w:val="00301340"/>
    <w:rsid w:val="0034545D"/>
    <w:rsid w:val="00373AF3"/>
    <w:rsid w:val="003D35C6"/>
    <w:rsid w:val="004050EF"/>
    <w:rsid w:val="00465F51"/>
    <w:rsid w:val="004844FA"/>
    <w:rsid w:val="004E3693"/>
    <w:rsid w:val="004F0434"/>
    <w:rsid w:val="005340ED"/>
    <w:rsid w:val="005519CA"/>
    <w:rsid w:val="00563D76"/>
    <w:rsid w:val="00570B62"/>
    <w:rsid w:val="005848C6"/>
    <w:rsid w:val="005E5EEF"/>
    <w:rsid w:val="005F1B5B"/>
    <w:rsid w:val="00600B0B"/>
    <w:rsid w:val="006558CB"/>
    <w:rsid w:val="006E0C67"/>
    <w:rsid w:val="00752515"/>
    <w:rsid w:val="00765E6B"/>
    <w:rsid w:val="007817C4"/>
    <w:rsid w:val="00787D9A"/>
    <w:rsid w:val="007C1A44"/>
    <w:rsid w:val="007D5A35"/>
    <w:rsid w:val="00847425"/>
    <w:rsid w:val="00881FEA"/>
    <w:rsid w:val="00920EF5"/>
    <w:rsid w:val="00937429"/>
    <w:rsid w:val="00990722"/>
    <w:rsid w:val="009A24E0"/>
    <w:rsid w:val="00A33EE1"/>
    <w:rsid w:val="00A9535F"/>
    <w:rsid w:val="00B13212"/>
    <w:rsid w:val="00B13FF0"/>
    <w:rsid w:val="00B22764"/>
    <w:rsid w:val="00B23251"/>
    <w:rsid w:val="00B56019"/>
    <w:rsid w:val="00B625DC"/>
    <w:rsid w:val="00B62D39"/>
    <w:rsid w:val="00B71000"/>
    <w:rsid w:val="00B773E5"/>
    <w:rsid w:val="00BA3826"/>
    <w:rsid w:val="00BC71A3"/>
    <w:rsid w:val="00C215C1"/>
    <w:rsid w:val="00C341BF"/>
    <w:rsid w:val="00C35B48"/>
    <w:rsid w:val="00C36E43"/>
    <w:rsid w:val="00C37B09"/>
    <w:rsid w:val="00CC7166"/>
    <w:rsid w:val="00CD68D3"/>
    <w:rsid w:val="00D14424"/>
    <w:rsid w:val="00D45905"/>
    <w:rsid w:val="00DF4962"/>
    <w:rsid w:val="00E15B98"/>
    <w:rsid w:val="00E21B00"/>
    <w:rsid w:val="00E22E08"/>
    <w:rsid w:val="00E421FA"/>
    <w:rsid w:val="00ED5402"/>
    <w:rsid w:val="00EE6EB3"/>
    <w:rsid w:val="00F200F2"/>
    <w:rsid w:val="00F20B6C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08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Odlomakpopisa">
    <w:name w:val="List Paragraph"/>
    <w:basedOn w:val="Normal"/>
    <w:uiPriority w:val="34"/>
    <w:qFormat/>
    <w:rsid w:val="005340ED"/>
    <w:pPr>
      <w:ind w:left="720"/>
      <w:contextualSpacing/>
    </w:pPr>
  </w:style>
  <w:style w:type="table" w:styleId="Reetkatablice">
    <w:name w:val="Table Grid"/>
    <w:basedOn w:val="Obinatablica"/>
    <w:uiPriority w:val="39"/>
    <w:rsid w:val="00142E03"/>
    <w:pPr>
      <w:widowControl/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203">
    <w:name w:val="box_458203"/>
    <w:basedOn w:val="Normal"/>
    <w:rsid w:val="00142E0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BC71A3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71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Odlomakpopisa">
    <w:name w:val="List Paragraph"/>
    <w:basedOn w:val="Normal"/>
    <w:uiPriority w:val="34"/>
    <w:qFormat/>
    <w:rsid w:val="005340ED"/>
    <w:pPr>
      <w:ind w:left="720"/>
      <w:contextualSpacing/>
    </w:pPr>
  </w:style>
  <w:style w:type="table" w:styleId="Reetkatablice">
    <w:name w:val="Table Grid"/>
    <w:basedOn w:val="Obinatablica"/>
    <w:uiPriority w:val="39"/>
    <w:rsid w:val="00142E03"/>
    <w:pPr>
      <w:widowControl/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8203">
    <w:name w:val="box_458203"/>
    <w:basedOn w:val="Normal"/>
    <w:rsid w:val="00142E0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BC71A3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C7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celnik@draganic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ragani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972FD-9D33-40B6-9481-4B0E51B5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Korisnik</cp:lastModifiedBy>
  <cp:revision>3</cp:revision>
  <cp:lastPrinted>2025-09-17T08:48:00Z</cp:lastPrinted>
  <dcterms:created xsi:type="dcterms:W3CDTF">2025-11-03T12:23:00Z</dcterms:created>
  <dcterms:modified xsi:type="dcterms:W3CDTF">2025-11-03T13:41:00Z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